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E8752E"/>
          <w:sz w:val="18"/>
        </w:rPr>
        <w:t>APEX MANUFACTURING</w:t>
      </w:r>
    </w:p>
    <w:p>
      <w:pPr>
        <w:pStyle w:val="Title"/>
        <w:spacing w:after="60"/>
      </w:pPr>
      <w:r>
        <w:t>Payroll Procedures</w:t>
      </w:r>
    </w:p>
    <w:p>
      <w:pPr>
        <w:spacing w:after="40"/>
      </w:pPr>
      <w:r>
        <w:rPr>
          <w:color w:val="667788"/>
          <w:sz w:val="22"/>
        </w:rPr>
        <w:t>Paychex payroll, timekeeping, approvals, corrections, and payroll records | Effective August 2026</w:t>
      </w:r>
    </w:p>
    <w:tbl>
      <w:tblPr>
        <w:tblStyle w:val="TableGrid"/>
        <w:tblW w:type="auto" w:w="0"/>
        <w:jc w:val="center"/>
        <w:tblLook w:firstColumn="1" w:firstRow="1" w:lastColumn="0" w:lastRow="0" w:noHBand="0" w:noVBand="1" w:val="04A0"/>
      </w:tblPr>
      <w:tblGrid>
        <w:gridCol w:w="5112"/>
        <w:gridCol w:w="5112"/>
      </w:tblGrid>
      <w:tr>
        <w:trPr>
          <w:cantSplit/>
        </w:trPr>
        <w:tc>
          <w:tcPr>
            <w:tcW w:type="dxa" w:w="3168"/>
            <w:shd w:fill="17324D"/>
            <w:tcMar>
              <w:top w:w="90" w:type="dxa"/>
              <w:start w:w="100" w:type="dxa"/>
              <w:bottom w:w="90" w:type="dxa"/>
              <w:end w:w="100" w:type="dxa"/>
            </w:tcMar>
            <w:vAlign w:val="center"/>
          </w:tcPr>
          <w:p>
            <w:pPr>
              <w:jc w:val="center"/>
            </w:pPr>
            <w:r>
              <w:rPr>
                <w:b/>
                <w:color w:val="FFFFFF"/>
                <w:sz w:val="18"/>
              </w:rPr>
              <w:t>Item</w:t>
            </w:r>
          </w:p>
        </w:tc>
        <w:tc>
          <w:tcPr>
            <w:tcW w:type="dxa" w:w="7056"/>
            <w:shd w:fill="17324D"/>
            <w:tcMar>
              <w:top w:w="90" w:type="dxa"/>
              <w:start w:w="100" w:type="dxa"/>
              <w:bottom w:w="90" w:type="dxa"/>
              <w:end w:w="100" w:type="dxa"/>
            </w:tcMar>
            <w:vAlign w:val="center"/>
          </w:tcPr>
          <w:p>
            <w:pPr>
              <w:jc w:val="center"/>
            </w:pPr>
            <w:r>
              <w:rPr>
                <w:b/>
                <w:color w:val="FFFFFF"/>
                <w:sz w:val="18"/>
              </w:rPr>
              <w:t>Standard</w:t>
            </w:r>
          </w:p>
        </w:tc>
      </w:tr>
      <w:tr>
        <w:trPr>
          <w:cantSplit/>
        </w:trPr>
        <w:tc>
          <w:tcPr>
            <w:tcW w:type="dxa" w:w="3168"/>
            <w:tcMar>
              <w:top w:w="90" w:type="dxa"/>
              <w:start w:w="100" w:type="dxa"/>
              <w:bottom w:w="90" w:type="dxa"/>
              <w:end w:w="100" w:type="dxa"/>
            </w:tcMar>
            <w:vAlign w:val="center"/>
          </w:tcPr>
          <w:p>
            <w:r>
              <w:rPr>
                <w:sz w:val="18"/>
              </w:rPr>
              <w:t>Payroll system</w:t>
            </w:r>
          </w:p>
        </w:tc>
        <w:tc>
          <w:tcPr>
            <w:tcW w:type="dxa" w:w="7056"/>
            <w:tcMar>
              <w:top w:w="90" w:type="dxa"/>
              <w:start w:w="100" w:type="dxa"/>
              <w:bottom w:w="90" w:type="dxa"/>
              <w:end w:w="100" w:type="dxa"/>
            </w:tcMar>
            <w:vAlign w:val="center"/>
          </w:tcPr>
          <w:p>
            <w:pPr>
              <w:jc w:val="center"/>
            </w:pPr>
            <w:r>
              <w:rPr>
                <w:sz w:val="18"/>
              </w:rPr>
              <w:t>Paychex</w:t>
            </w:r>
          </w:p>
        </w:tc>
      </w:tr>
      <w:tr>
        <w:trPr>
          <w:cantSplit/>
        </w:trPr>
        <w:tc>
          <w:tcPr>
            <w:tcW w:type="dxa" w:w="3168"/>
            <w:tcMar>
              <w:top w:w="90" w:type="dxa"/>
              <w:start w:w="100" w:type="dxa"/>
              <w:bottom w:w="90" w:type="dxa"/>
              <w:end w:w="100" w:type="dxa"/>
            </w:tcMar>
            <w:vAlign w:val="center"/>
          </w:tcPr>
          <w:p>
            <w:r>
              <w:rPr>
                <w:sz w:val="18"/>
              </w:rPr>
              <w:t>Pay frequency</w:t>
            </w:r>
          </w:p>
        </w:tc>
        <w:tc>
          <w:tcPr>
            <w:tcW w:type="dxa" w:w="7056"/>
            <w:tcMar>
              <w:top w:w="90" w:type="dxa"/>
              <w:start w:w="100" w:type="dxa"/>
              <w:bottom w:w="90" w:type="dxa"/>
              <w:end w:w="100" w:type="dxa"/>
            </w:tcMar>
            <w:vAlign w:val="center"/>
          </w:tcPr>
          <w:p>
            <w:pPr>
              <w:jc w:val="center"/>
            </w:pPr>
            <w:r>
              <w:rPr>
                <w:sz w:val="18"/>
              </w:rPr>
              <w:t>Biweekly</w:t>
            </w:r>
          </w:p>
        </w:tc>
      </w:tr>
      <w:tr>
        <w:trPr>
          <w:cantSplit/>
        </w:trPr>
        <w:tc>
          <w:tcPr>
            <w:tcW w:type="dxa" w:w="3168"/>
            <w:tcMar>
              <w:top w:w="90" w:type="dxa"/>
              <w:start w:w="100" w:type="dxa"/>
              <w:bottom w:w="90" w:type="dxa"/>
              <w:end w:w="100" w:type="dxa"/>
            </w:tcMar>
            <w:vAlign w:val="center"/>
          </w:tcPr>
          <w:p>
            <w:r>
              <w:rPr>
                <w:sz w:val="18"/>
              </w:rPr>
              <w:t>Payday</w:t>
            </w:r>
          </w:p>
        </w:tc>
        <w:tc>
          <w:tcPr>
            <w:tcW w:type="dxa" w:w="7056"/>
            <w:tcMar>
              <w:top w:w="90" w:type="dxa"/>
              <w:start w:w="100" w:type="dxa"/>
              <w:bottom w:w="90" w:type="dxa"/>
              <w:end w:w="100" w:type="dxa"/>
            </w:tcMar>
            <w:vAlign w:val="center"/>
          </w:tcPr>
          <w:p>
            <w:pPr>
              <w:jc w:val="center"/>
            </w:pPr>
            <w:r>
              <w:rPr>
                <w:sz w:val="18"/>
              </w:rPr>
              <w:t>Every other Friday</w:t>
            </w:r>
          </w:p>
        </w:tc>
      </w:tr>
      <w:tr>
        <w:trPr>
          <w:cantSplit/>
        </w:trPr>
        <w:tc>
          <w:tcPr>
            <w:tcW w:type="dxa" w:w="3168"/>
            <w:tcMar>
              <w:top w:w="90" w:type="dxa"/>
              <w:start w:w="100" w:type="dxa"/>
              <w:bottom w:w="90" w:type="dxa"/>
              <w:end w:w="100" w:type="dxa"/>
            </w:tcMar>
            <w:vAlign w:val="center"/>
          </w:tcPr>
          <w:p>
            <w:r>
              <w:rPr>
                <w:sz w:val="18"/>
              </w:rPr>
              <w:t>Timekeeping</w:t>
            </w:r>
          </w:p>
        </w:tc>
        <w:tc>
          <w:tcPr>
            <w:tcW w:type="dxa" w:w="7056"/>
            <w:tcMar>
              <w:top w:w="90" w:type="dxa"/>
              <w:start w:w="100" w:type="dxa"/>
              <w:bottom w:w="90" w:type="dxa"/>
              <w:end w:w="100" w:type="dxa"/>
            </w:tcMar>
            <w:vAlign w:val="center"/>
          </w:tcPr>
          <w:p>
            <w:r>
              <w:rPr>
                <w:sz w:val="18"/>
              </w:rPr>
              <w:t>Paychex timekeeping for hourly employees</w:t>
            </w:r>
          </w:p>
        </w:tc>
      </w:tr>
      <w:tr>
        <w:trPr>
          <w:cantSplit/>
        </w:trPr>
        <w:tc>
          <w:tcPr>
            <w:tcW w:type="dxa" w:w="3168"/>
            <w:tcMar>
              <w:top w:w="90" w:type="dxa"/>
              <w:start w:w="100" w:type="dxa"/>
              <w:bottom w:w="90" w:type="dxa"/>
              <w:end w:w="100" w:type="dxa"/>
            </w:tcMar>
            <w:vAlign w:val="center"/>
          </w:tcPr>
          <w:p>
            <w:r>
              <w:rPr>
                <w:sz w:val="18"/>
              </w:rPr>
              <w:t>Manager review</w:t>
            </w:r>
          </w:p>
        </w:tc>
        <w:tc>
          <w:tcPr>
            <w:tcW w:type="dxa" w:w="7056"/>
            <w:tcMar>
              <w:top w:w="90" w:type="dxa"/>
              <w:start w:w="100" w:type="dxa"/>
              <w:bottom w:w="90" w:type="dxa"/>
              <w:end w:w="100" w:type="dxa"/>
            </w:tcMar>
            <w:vAlign w:val="center"/>
          </w:tcPr>
          <w:p>
            <w:r>
              <w:rPr>
                <w:sz w:val="18"/>
              </w:rPr>
              <w:t>Maria Santos, Operations Manager</w:t>
            </w:r>
          </w:p>
        </w:tc>
      </w:tr>
      <w:tr>
        <w:trPr>
          <w:cantSplit/>
        </w:trPr>
        <w:tc>
          <w:tcPr>
            <w:tcW w:type="dxa" w:w="3168"/>
            <w:tcMar>
              <w:top w:w="90" w:type="dxa"/>
              <w:start w:w="100" w:type="dxa"/>
              <w:bottom w:w="90" w:type="dxa"/>
              <w:end w:w="100" w:type="dxa"/>
            </w:tcMar>
            <w:vAlign w:val="center"/>
          </w:tcPr>
          <w:p>
            <w:r>
              <w:rPr>
                <w:sz w:val="18"/>
              </w:rPr>
              <w:t>Final approval</w:t>
            </w:r>
          </w:p>
        </w:tc>
        <w:tc>
          <w:tcPr>
            <w:tcW w:type="dxa" w:w="7056"/>
            <w:tcMar>
              <w:top w:w="90" w:type="dxa"/>
              <w:start w:w="100" w:type="dxa"/>
              <w:bottom w:w="90" w:type="dxa"/>
              <w:end w:w="100" w:type="dxa"/>
            </w:tcMar>
            <w:vAlign w:val="center"/>
          </w:tcPr>
          <w:p>
            <w:r>
              <w:rPr>
                <w:sz w:val="18"/>
              </w:rPr>
              <w:t>Jordan Blake, President &amp; CEO</w:t>
            </w:r>
          </w:p>
        </w:tc>
      </w:tr>
    </w:tbl>
    <w:p>
      <w:pPr>
        <w:spacing w:after="40"/>
      </w:pPr>
    </w:p>
    <w:p>
      <w:pPr>
        <w:pStyle w:val="Heading1"/>
      </w:pPr>
      <w:r>
        <w:t>1. Payroll System</w:t>
      </w:r>
    </w:p>
    <w:p>
      <w:pPr>
        <w:spacing w:after="40"/>
      </w:pPr>
      <w:r>
        <w:t>Apex Manufacturing uses Paychex to manage payroll, employee timekeeping, pay statements, payroll records, and applicable deductions. Employees are responsible for maintaining accurate personal, tax, and direct deposit information in Paychex.</w:t>
      </w:r>
    </w:p>
    <w:p>
      <w:pPr>
        <w:pStyle w:val="Heading1"/>
      </w:pPr>
      <w:r>
        <w:t>2. Pay Schedule</w:t>
      </w:r>
    </w:p>
    <w:p>
      <w:pPr>
        <w:spacing w:after="40"/>
      </w:pPr>
      <w:r>
        <w:t>Employees are paid biweekly every other Friday. Each pay period covers two weeks of work.</w:t>
      </w:r>
    </w:p>
    <w:p>
      <w:pPr>
        <w:pStyle w:val="Heading1"/>
      </w:pPr>
      <w:r>
        <w:t>3. Timekeeping</w:t>
      </w:r>
    </w:p>
    <w:p>
      <w:pPr>
        <w:spacing w:after="40"/>
      </w:pPr>
      <w:r>
        <w:t>All hourly employees must clock in and clock out for every shift using the approved Paychex timekeeping system. Employees must record all working time, including setup, cleanup, required meetings, training, maintenance support, inspections, and approved overtime. Employees may not work off the clock.</w:t>
      </w:r>
    </w:p>
    <w:p>
      <w:pPr>
        <w:pStyle w:val="Heading1"/>
      </w:pPr>
      <w:r>
        <w:t>4. Timecard Review</w:t>
      </w:r>
    </w:p>
    <w:p>
      <w:pPr>
        <w:spacing w:after="40"/>
      </w:pPr>
      <w:r>
        <w:t>Employees are responsible for reviewing timecards for accuracy before the payroll cutoff. Production supervisors review routine punches and job-related premium hours. Maria Santos completes manager review, and Jordan Blake provides final approval or backup approval.</w:t>
      </w:r>
    </w:p>
    <w:p>
      <w:pPr>
        <w:pStyle w:val="Heading1"/>
      </w:pPr>
      <w:r>
        <w:t>5. Missing Punches and Corrections</w:t>
      </w:r>
    </w:p>
    <w:p>
      <w:pPr>
        <w:spacing w:after="40"/>
      </w:pPr>
      <w:r>
        <w:t>Employees who notice a missing or incorrect punch must notify their supervisor or Maria Santos as soon as possible and provide the date, correct time, and brief explanation. Employees may not intentionally falsify time records.</w:t>
      </w:r>
    </w:p>
    <w:p>
      <w:pPr>
        <w:pStyle w:val="Heading1"/>
      </w:pPr>
      <w:r>
        <w:t>6. Payroll Cutoff</w:t>
      </w:r>
    </w:p>
    <w:p>
      <w:pPr>
        <w:spacing w:after="40"/>
      </w:pPr>
      <w:r>
        <w:t>All employee timecards must be complete and approved before payroll processing. Employees should submit corrections by Monday at noon during payroll week. Manager review should be completed by Tuesday at noon so payroll can be submitted for Friday payday.</w:t>
      </w:r>
    </w:p>
    <w:p>
      <w:pPr>
        <w:pStyle w:val="Heading1"/>
      </w:pPr>
      <w:r>
        <w:t>7. Overtime</w:t>
      </w:r>
    </w:p>
    <w:p>
      <w:pPr>
        <w:spacing w:after="40"/>
      </w:pPr>
      <w:r>
        <w:t>Hourly employees are eligible for overtime pay under applicable law. Overtime should be approved in advance whenever practical. All overtime actually worked must still be reported and recorded.</w:t>
      </w:r>
    </w:p>
    <w:p>
      <w:pPr>
        <w:pStyle w:val="Heading1"/>
      </w:pPr>
      <w:r>
        <w:t>8. Shift Differential</w:t>
      </w:r>
    </w:p>
    <w:p>
      <w:pPr>
        <w:spacing w:after="40"/>
      </w:pPr>
      <w:r>
        <w:t>Eligible hourly employees assigned to second shift receive a $1.50 per hour differential for qualifying hours worked between 2 p.m. and 10:30 p.m. The differential applies only to hours specifically assigned as second-shift work.</w:t>
      </w:r>
    </w:p>
    <w:p>
      <w:pPr>
        <w:pStyle w:val="Heading1"/>
      </w:pPr>
      <w:r>
        <w:t>9. Bonuses</w:t>
      </w:r>
    </w:p>
    <w:p>
      <w:pPr>
        <w:spacing w:after="40"/>
      </w:pPr>
      <w:r>
        <w:t>Approved bonuses are entered into payroll only after authorization. Jordan Blake approves bonus payments. Incentives remain subject to the written compensation plan for the applicable period.</w:t>
      </w:r>
    </w:p>
    <w:p>
      <w:pPr>
        <w:pStyle w:val="Heading1"/>
      </w:pPr>
      <w:r>
        <w:t>10. Payroll Errors</w:t>
      </w:r>
    </w:p>
    <w:p>
      <w:pPr>
        <w:spacing w:after="40"/>
      </w:pPr>
      <w:r>
        <w:t>Employees should report suspected payroll errors promptly after reviewing their pay statement. Management will review time, rate, differential, overtime, and other relevant payroll records and correct confirmed errors consistent with applicable wage-payment requirements.</w:t>
      </w:r>
    </w:p>
    <w:p>
      <w:pPr>
        <w:pStyle w:val="Heading1"/>
      </w:pPr>
      <w:r>
        <w:t>11. Payroll Records and Confidentiality</w:t>
      </w:r>
    </w:p>
    <w:p>
      <w:pPr>
        <w:spacing w:after="40"/>
      </w:pPr>
      <w:r>
        <w:t>Payroll information is confidential. Access is limited to authorized management, the individual employee for their own records, Paychex, and other parties with a legitimate business or legal need.</w:t>
      </w:r>
    </w:p>
    <w:p>
      <w:pPr>
        <w:pStyle w:val="Heading1"/>
      </w:pPr>
      <w:r>
        <w:t>12. Employee Information Changes</w:t>
      </w:r>
    </w:p>
    <w:p>
      <w:pPr>
        <w:spacing w:after="40"/>
      </w:pPr>
      <w:r>
        <w:t>Employees must promptly update or report changes involving address, phone number, direct deposit information, tax withholding elections, legal name, and emergency contact information.</w:t>
      </w:r>
    </w:p>
    <w:p>
      <w:pPr>
        <w:pStyle w:val="Heading1"/>
      </w:pPr>
      <w:r>
        <w:t>13. Payroll Responsibilities</w:t>
      </w:r>
    </w:p>
    <w:tbl>
      <w:tblPr>
        <w:tblStyle w:val="TableGrid"/>
        <w:tblW w:type="auto" w:w="0"/>
        <w:jc w:val="center"/>
        <w:tblLook w:firstColumn="1" w:firstRow="1" w:lastColumn="0" w:lastRow="0" w:noHBand="0" w:noVBand="1" w:val="04A0"/>
      </w:tblPr>
      <w:tblGrid>
        <w:gridCol w:w="5112"/>
        <w:gridCol w:w="5112"/>
      </w:tblGrid>
      <w:tr>
        <w:trPr>
          <w:cantSplit/>
        </w:trPr>
        <w:tc>
          <w:tcPr>
            <w:tcW w:type="dxa" w:w="2880"/>
            <w:shd w:fill="17324D"/>
            <w:tcMar>
              <w:top w:w="90" w:type="dxa"/>
              <w:start w:w="100" w:type="dxa"/>
              <w:bottom w:w="90" w:type="dxa"/>
              <w:end w:w="100" w:type="dxa"/>
            </w:tcMar>
            <w:vAlign w:val="center"/>
          </w:tcPr>
          <w:p>
            <w:pPr>
              <w:jc w:val="center"/>
            </w:pPr>
            <w:r>
              <w:rPr>
                <w:b/>
                <w:color w:val="FFFFFF"/>
                <w:sz w:val="18"/>
              </w:rPr>
              <w:t>Role</w:t>
            </w:r>
          </w:p>
        </w:tc>
        <w:tc>
          <w:tcPr>
            <w:tcW w:type="dxa" w:w="7344"/>
            <w:shd w:fill="17324D"/>
            <w:tcMar>
              <w:top w:w="90" w:type="dxa"/>
              <w:start w:w="100" w:type="dxa"/>
              <w:bottom w:w="90" w:type="dxa"/>
              <w:end w:w="100" w:type="dxa"/>
            </w:tcMar>
            <w:vAlign w:val="center"/>
          </w:tcPr>
          <w:p>
            <w:pPr>
              <w:jc w:val="center"/>
            </w:pPr>
            <w:r>
              <w:rPr>
                <w:b/>
                <w:color w:val="FFFFFF"/>
                <w:sz w:val="18"/>
              </w:rPr>
              <w:t>Responsibility</w:t>
            </w:r>
          </w:p>
        </w:tc>
      </w:tr>
      <w:tr>
        <w:trPr>
          <w:cantSplit/>
        </w:trPr>
        <w:tc>
          <w:tcPr>
            <w:tcW w:type="dxa" w:w="2880"/>
            <w:tcMar>
              <w:top w:w="90" w:type="dxa"/>
              <w:start w:w="100" w:type="dxa"/>
              <w:bottom w:w="90" w:type="dxa"/>
              <w:end w:w="100" w:type="dxa"/>
            </w:tcMar>
            <w:vAlign w:val="center"/>
          </w:tcPr>
          <w:p>
            <w:r>
              <w:rPr>
                <w:sz w:val="18"/>
              </w:rPr>
              <w:t>Employees</w:t>
            </w:r>
          </w:p>
        </w:tc>
        <w:tc>
          <w:tcPr>
            <w:tcW w:type="dxa" w:w="7344"/>
            <w:tcMar>
              <w:top w:w="90" w:type="dxa"/>
              <w:start w:w="100" w:type="dxa"/>
              <w:bottom w:w="90" w:type="dxa"/>
              <w:end w:w="100" w:type="dxa"/>
            </w:tcMar>
            <w:vAlign w:val="center"/>
          </w:tcPr>
          <w:p>
            <w:r>
              <w:rPr>
                <w:sz w:val="18"/>
              </w:rPr>
              <w:t>Maintain accurate time records, review timecards, and report corrections promptly.</w:t>
            </w:r>
          </w:p>
        </w:tc>
      </w:tr>
      <w:tr>
        <w:trPr>
          <w:cantSplit/>
        </w:trPr>
        <w:tc>
          <w:tcPr>
            <w:tcW w:type="dxa" w:w="2880"/>
            <w:tcMar>
              <w:top w:w="90" w:type="dxa"/>
              <w:start w:w="100" w:type="dxa"/>
              <w:bottom w:w="90" w:type="dxa"/>
              <w:end w:w="100" w:type="dxa"/>
            </w:tcMar>
            <w:vAlign w:val="center"/>
          </w:tcPr>
          <w:p>
            <w:r>
              <w:rPr>
                <w:sz w:val="18"/>
              </w:rPr>
              <w:t>Production Supervisor</w:t>
            </w:r>
          </w:p>
        </w:tc>
        <w:tc>
          <w:tcPr>
            <w:tcW w:type="dxa" w:w="7344"/>
            <w:tcMar>
              <w:top w:w="90" w:type="dxa"/>
              <w:start w:w="100" w:type="dxa"/>
              <w:bottom w:w="90" w:type="dxa"/>
              <w:end w:w="100" w:type="dxa"/>
            </w:tcMar>
            <w:vAlign w:val="center"/>
          </w:tcPr>
          <w:p>
            <w:r>
              <w:rPr>
                <w:sz w:val="18"/>
              </w:rPr>
              <w:t>Review routine time punches, schedule deviations, and shift qualification.</w:t>
            </w:r>
          </w:p>
        </w:tc>
      </w:tr>
      <w:tr>
        <w:trPr>
          <w:cantSplit/>
        </w:trPr>
        <w:tc>
          <w:tcPr>
            <w:tcW w:type="dxa" w:w="2880"/>
            <w:tcMar>
              <w:top w:w="90" w:type="dxa"/>
              <w:start w:w="100" w:type="dxa"/>
              <w:bottom w:w="90" w:type="dxa"/>
              <w:end w:w="100" w:type="dxa"/>
            </w:tcMar>
            <w:vAlign w:val="center"/>
          </w:tcPr>
          <w:p>
            <w:r>
              <w:rPr>
                <w:sz w:val="18"/>
              </w:rPr>
              <w:t>Maria Santos</w:t>
            </w:r>
          </w:p>
        </w:tc>
        <w:tc>
          <w:tcPr>
            <w:tcW w:type="dxa" w:w="7344"/>
            <w:tcMar>
              <w:top w:w="90" w:type="dxa"/>
              <w:start w:w="100" w:type="dxa"/>
              <w:bottom w:w="90" w:type="dxa"/>
              <w:end w:w="100" w:type="dxa"/>
            </w:tcMar>
            <w:vAlign w:val="center"/>
          </w:tcPr>
          <w:p>
            <w:r>
              <w:rPr>
                <w:sz w:val="18"/>
              </w:rPr>
              <w:t>Review timecards, investigate corrections, monitor overtime, and approve time records for payroll.</w:t>
            </w:r>
          </w:p>
        </w:tc>
      </w:tr>
      <w:tr>
        <w:trPr>
          <w:cantSplit/>
        </w:trPr>
        <w:tc>
          <w:tcPr>
            <w:tcW w:type="dxa" w:w="2880"/>
            <w:tcMar>
              <w:top w:w="90" w:type="dxa"/>
              <w:start w:w="100" w:type="dxa"/>
              <w:bottom w:w="90" w:type="dxa"/>
              <w:end w:w="100" w:type="dxa"/>
            </w:tcMar>
            <w:vAlign w:val="center"/>
          </w:tcPr>
          <w:p>
            <w:r>
              <w:rPr>
                <w:sz w:val="18"/>
              </w:rPr>
              <w:t>Jordan Blake</w:t>
            </w:r>
          </w:p>
        </w:tc>
        <w:tc>
          <w:tcPr>
            <w:tcW w:type="dxa" w:w="7344"/>
            <w:tcMar>
              <w:top w:w="90" w:type="dxa"/>
              <w:start w:w="100" w:type="dxa"/>
              <w:bottom w:w="90" w:type="dxa"/>
              <w:end w:w="100" w:type="dxa"/>
            </w:tcMar>
            <w:vAlign w:val="center"/>
          </w:tcPr>
          <w:p>
            <w:r>
              <w:rPr>
                <w:sz w:val="18"/>
              </w:rPr>
              <w:t>Provide final payroll approval, authorize pay-rate changes and bonuses, resolve significant discrepancies, and oversee the Paychex account.</w:t>
            </w:r>
          </w:p>
        </w:tc>
      </w:tr>
    </w:tbl>
    <w:p>
      <w:pPr>
        <w:spacing w:after="40"/>
      </w:pPr>
    </w:p>
    <w:sectPr w:rsidR="00FC693F" w:rsidRPr="0006063C" w:rsidSect="00034616">
      <w:footerReference w:type="default" r:id="rId9"/>
      <w:pgSz w:w="12240" w:h="15840"/>
      <w:pgMar w:top="749" w:right="1008" w:bottom="749"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788"/>
        <w:sz w:val="16"/>
      </w:rPr>
      <w:t>Apex Manufacturing | Payroll Procedures | Effective August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E8752E"/>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Aptos Display" w:hAnsi="Aptos Display"/>
      <w:b/>
      <w:bCs/>
      <w:color w:val="17324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2222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