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A5AF0" w14:textId="21699FC3" w:rsidR="00050694" w:rsidRPr="001E0500" w:rsidRDefault="00000000" w:rsidP="001E0500">
      <w:pPr>
        <w:spacing w:before="720"/>
        <w:jc w:val="center"/>
        <w:rPr>
          <w:rFonts w:asciiTheme="majorHAnsi" w:hAnsiTheme="majorHAnsi" w:cstheme="majorHAnsi"/>
          <w:sz w:val="48"/>
          <w:szCs w:val="48"/>
        </w:rPr>
      </w:pPr>
      <w:r w:rsidRPr="001E0500">
        <w:rPr>
          <w:rFonts w:asciiTheme="majorHAnsi" w:hAnsiTheme="majorHAnsi" w:cstheme="majorHAnsi"/>
          <w:b/>
          <w:sz w:val="48"/>
          <w:szCs w:val="48"/>
        </w:rPr>
        <w:t>PASSWORD</w:t>
      </w:r>
      <w:r w:rsidR="001E0500">
        <w:rPr>
          <w:rFonts w:asciiTheme="majorHAnsi" w:hAnsiTheme="majorHAnsi" w:cstheme="majorHAnsi"/>
          <w:b/>
          <w:sz w:val="48"/>
          <w:szCs w:val="48"/>
        </w:rPr>
        <w:t xml:space="preserve"> </w:t>
      </w:r>
      <w:r w:rsidRPr="001E0500">
        <w:rPr>
          <w:rFonts w:asciiTheme="majorHAnsi" w:hAnsiTheme="majorHAnsi" w:cstheme="majorHAnsi"/>
          <w:b/>
          <w:sz w:val="48"/>
          <w:szCs w:val="48"/>
        </w:rPr>
        <w:t xml:space="preserve">POLICY </w:t>
      </w:r>
      <w:r w:rsidR="001E0500">
        <w:rPr>
          <w:rFonts w:asciiTheme="majorHAnsi" w:hAnsiTheme="majorHAnsi" w:cstheme="majorHAnsi"/>
          <w:b/>
          <w:sz w:val="48"/>
          <w:szCs w:val="48"/>
        </w:rPr>
        <w:t>T</w:t>
      </w:r>
      <w:r w:rsidRPr="001E0500">
        <w:rPr>
          <w:rFonts w:asciiTheme="majorHAnsi" w:hAnsiTheme="majorHAnsi" w:cstheme="majorHAnsi"/>
          <w:b/>
          <w:sz w:val="48"/>
          <w:szCs w:val="48"/>
        </w:rPr>
        <w:t>OOLKIT</w:t>
      </w:r>
      <w:r w:rsidR="001E0500">
        <w:rPr>
          <w:rFonts w:asciiTheme="majorHAnsi" w:hAnsiTheme="majorHAnsi" w:cstheme="majorHAnsi"/>
          <w:sz w:val="48"/>
          <w:szCs w:val="48"/>
        </w:rPr>
        <w:br/>
      </w:r>
      <w:r>
        <w:rPr>
          <w:b/>
          <w:sz w:val="22"/>
        </w:rPr>
        <w:t>Prepared by STACK Cybersecurity</w:t>
      </w:r>
      <w:r>
        <w:rPr>
          <w:b/>
          <w:sz w:val="22"/>
        </w:rPr>
        <w:br/>
        <w:t xml:space="preserve">Version </w:t>
      </w:r>
      <w:proofErr w:type="gramStart"/>
      <w:r w:rsidR="001E0500">
        <w:rPr>
          <w:b/>
          <w:sz w:val="22"/>
        </w:rPr>
        <w:t>1</w:t>
      </w:r>
      <w:r>
        <w:rPr>
          <w:b/>
          <w:sz w:val="22"/>
        </w:rPr>
        <w:t>.0  |</w:t>
      </w:r>
      <w:proofErr w:type="gramEnd"/>
      <w:r>
        <w:rPr>
          <w:b/>
          <w:sz w:val="22"/>
        </w:rPr>
        <w:t xml:space="preserve">  July 2026</w:t>
      </w:r>
    </w:p>
    <w:p w14:paraId="6FFF674D" w14:textId="77777777" w:rsidR="00050694" w:rsidRDefault="00000000">
      <w:pPr>
        <w:spacing w:before="1100"/>
        <w:jc w:val="center"/>
      </w:pPr>
      <w:r>
        <w:rPr>
          <w:b/>
          <w:color w:val="FF004A"/>
          <w:sz w:val="20"/>
        </w:rPr>
        <w:t>CUSTOMIZE  •  APPROVE  •  IMPLEMENT  •  REVIEW</w:t>
      </w:r>
    </w:p>
    <w:p w14:paraId="342AE511" w14:textId="77777777" w:rsidR="00050694" w:rsidRDefault="00000000">
      <w:r>
        <w:br w:type="page"/>
      </w:r>
    </w:p>
    <w:p w14:paraId="6CA28CD2" w14:textId="77777777" w:rsidR="00050694" w:rsidRDefault="00000000">
      <w:pPr>
        <w:pStyle w:val="Heading1"/>
      </w:pPr>
      <w:r>
        <w:lastRenderedPageBreak/>
        <w:t>How to Use This Toolkit</w:t>
      </w:r>
    </w:p>
    <w:p w14:paraId="330157B7" w14:textId="77777777" w:rsidR="00050694" w:rsidRDefault="00000000">
      <w:r>
        <w:t>Replace bracketed placeholders with company-specific information. Confirm the final requirements with your internal information technology team, managed service provider, legal counsel, cyber insurance advisor, or compliance professional as appropriate.</w:t>
      </w:r>
    </w:p>
    <w:tbl>
      <w:tblPr>
        <w:tblW w:w="0" w:type="auto"/>
        <w:jc w:val="center"/>
        <w:tblLayout w:type="fixed"/>
        <w:tblLook w:val="04A0" w:firstRow="1" w:lastRow="0" w:firstColumn="1" w:lastColumn="0" w:noHBand="0" w:noVBand="1"/>
      </w:tblPr>
      <w:tblGrid>
        <w:gridCol w:w="10080"/>
      </w:tblGrid>
      <w:tr w:rsidR="00050694" w14:paraId="631C72D7" w14:textId="77777777">
        <w:trPr>
          <w:jc w:val="center"/>
        </w:trPr>
        <w:tc>
          <w:tcPr>
            <w:tcW w:w="10080" w:type="dxa"/>
            <w:shd w:val="clear" w:color="auto" w:fill="EEF4FF"/>
            <w:tcMar>
              <w:top w:w="180" w:type="dxa"/>
              <w:left w:w="180" w:type="dxa"/>
              <w:bottom w:w="180" w:type="dxa"/>
              <w:right w:w="180" w:type="dxa"/>
            </w:tcMar>
          </w:tcPr>
          <w:p w14:paraId="558ED208" w14:textId="77777777" w:rsidR="00050694" w:rsidRDefault="00000000">
            <w:r>
              <w:rPr>
                <w:b/>
              </w:rPr>
              <w:t xml:space="preserve">Important: </w:t>
            </w:r>
            <w:r>
              <w:t>NIST SP 800-63B-4 is written for digital identity systems. This template translates its password recommendations into a business policy starting point. It does not automatically establish compliance with CMMC, NIST SP 800-171, SOC 2, cyber insurance, or another framework.</w:t>
            </w:r>
          </w:p>
        </w:tc>
      </w:tr>
    </w:tbl>
    <w:p w14:paraId="556E9E8F" w14:textId="77777777" w:rsidR="00050694" w:rsidRDefault="00000000">
      <w:pPr>
        <w:pStyle w:val="Heading1"/>
      </w:pPr>
      <w:r>
        <w:t>Why Password Policies Changed</w:t>
      </w:r>
    </w:p>
    <w:p w14:paraId="0FC5C8D7" w14:textId="77777777" w:rsidR="00050694" w:rsidRDefault="00000000">
      <w:r>
        <w:t>Older policies often required complicated passwords and forced changes every 60 or 90 days. Current NIST guidance places greater emphasis on length, screening new passwords against known compromised values, allowing password managers, limiting failed login attempts, and changing passwords when compromise is suspected or confirmed. Passwords alone are not phishing-resistant, so businesses should also require stronger multi-factor authentication and adopt passkeys or security keys where supported.</w:t>
      </w:r>
    </w:p>
    <w:p w14:paraId="31B6A15F" w14:textId="77777777" w:rsidR="00050694" w:rsidRDefault="00000000">
      <w:pPr>
        <w:pStyle w:val="Heading1"/>
      </w:pPr>
      <w:r>
        <w:t>Document Control</w:t>
      </w:r>
    </w:p>
    <w:tbl>
      <w:tblPr>
        <w:tblStyle w:val="TableGrid"/>
        <w:tblW w:w="0" w:type="auto"/>
        <w:jc w:val="center"/>
        <w:tblLook w:val="04A0" w:firstRow="1" w:lastRow="0" w:firstColumn="1" w:lastColumn="0" w:noHBand="0" w:noVBand="1"/>
      </w:tblPr>
      <w:tblGrid>
        <w:gridCol w:w="5040"/>
        <w:gridCol w:w="5040"/>
      </w:tblGrid>
      <w:tr w:rsidR="00050694" w14:paraId="70B32AD1" w14:textId="77777777">
        <w:trPr>
          <w:jc w:val="center"/>
        </w:trPr>
        <w:tc>
          <w:tcPr>
            <w:tcW w:w="5040" w:type="dxa"/>
            <w:shd w:val="clear" w:color="auto" w:fill="F6F8FC"/>
            <w:tcMar>
              <w:top w:w="100" w:type="dxa"/>
              <w:left w:w="120" w:type="dxa"/>
              <w:bottom w:w="100" w:type="dxa"/>
              <w:right w:w="120" w:type="dxa"/>
            </w:tcMar>
          </w:tcPr>
          <w:p w14:paraId="46597501" w14:textId="77777777" w:rsidR="00050694" w:rsidRDefault="00000000">
            <w:r>
              <w:rPr>
                <w:b/>
              </w:rPr>
              <w:t>Company</w:t>
            </w:r>
          </w:p>
        </w:tc>
        <w:tc>
          <w:tcPr>
            <w:tcW w:w="5040" w:type="dxa"/>
            <w:tcMar>
              <w:top w:w="100" w:type="dxa"/>
              <w:left w:w="120" w:type="dxa"/>
              <w:bottom w:w="100" w:type="dxa"/>
              <w:right w:w="120" w:type="dxa"/>
            </w:tcMar>
          </w:tcPr>
          <w:p w14:paraId="70EA89BE" w14:textId="77777777" w:rsidR="00050694" w:rsidRDefault="00000000">
            <w:r>
              <w:t>[Company name]</w:t>
            </w:r>
          </w:p>
        </w:tc>
      </w:tr>
      <w:tr w:rsidR="00050694" w14:paraId="3DE67E16" w14:textId="77777777">
        <w:trPr>
          <w:jc w:val="center"/>
        </w:trPr>
        <w:tc>
          <w:tcPr>
            <w:tcW w:w="5040" w:type="dxa"/>
            <w:shd w:val="clear" w:color="auto" w:fill="F6F8FC"/>
            <w:tcMar>
              <w:top w:w="100" w:type="dxa"/>
              <w:left w:w="120" w:type="dxa"/>
              <w:bottom w:w="100" w:type="dxa"/>
              <w:right w:w="120" w:type="dxa"/>
            </w:tcMar>
          </w:tcPr>
          <w:p w14:paraId="247E8A3D" w14:textId="77777777" w:rsidR="00050694" w:rsidRDefault="00000000">
            <w:r>
              <w:rPr>
                <w:b/>
              </w:rPr>
              <w:t>Document owner</w:t>
            </w:r>
          </w:p>
        </w:tc>
        <w:tc>
          <w:tcPr>
            <w:tcW w:w="5040" w:type="dxa"/>
            <w:tcMar>
              <w:top w:w="100" w:type="dxa"/>
              <w:left w:w="120" w:type="dxa"/>
              <w:bottom w:w="100" w:type="dxa"/>
              <w:right w:w="120" w:type="dxa"/>
            </w:tcMar>
          </w:tcPr>
          <w:p w14:paraId="258A18CF" w14:textId="77777777" w:rsidR="00050694" w:rsidRDefault="00000000">
            <w:r>
              <w:t>[Name or role]</w:t>
            </w:r>
          </w:p>
        </w:tc>
      </w:tr>
      <w:tr w:rsidR="00050694" w14:paraId="5CA7AB46" w14:textId="77777777">
        <w:trPr>
          <w:jc w:val="center"/>
        </w:trPr>
        <w:tc>
          <w:tcPr>
            <w:tcW w:w="5040" w:type="dxa"/>
            <w:shd w:val="clear" w:color="auto" w:fill="F6F8FC"/>
            <w:tcMar>
              <w:top w:w="100" w:type="dxa"/>
              <w:left w:w="120" w:type="dxa"/>
              <w:bottom w:w="100" w:type="dxa"/>
              <w:right w:w="120" w:type="dxa"/>
            </w:tcMar>
          </w:tcPr>
          <w:p w14:paraId="4E7FF75F" w14:textId="77777777" w:rsidR="00050694" w:rsidRDefault="00000000">
            <w:r>
              <w:rPr>
                <w:b/>
              </w:rPr>
              <w:t>Approver</w:t>
            </w:r>
          </w:p>
        </w:tc>
        <w:tc>
          <w:tcPr>
            <w:tcW w:w="5040" w:type="dxa"/>
            <w:tcMar>
              <w:top w:w="100" w:type="dxa"/>
              <w:left w:w="120" w:type="dxa"/>
              <w:bottom w:w="100" w:type="dxa"/>
              <w:right w:w="120" w:type="dxa"/>
            </w:tcMar>
          </w:tcPr>
          <w:p w14:paraId="1E41C823" w14:textId="77777777" w:rsidR="00050694" w:rsidRDefault="00000000">
            <w:r>
              <w:t>[Name or role]</w:t>
            </w:r>
          </w:p>
        </w:tc>
      </w:tr>
      <w:tr w:rsidR="00050694" w14:paraId="6843F4C9" w14:textId="77777777">
        <w:trPr>
          <w:jc w:val="center"/>
        </w:trPr>
        <w:tc>
          <w:tcPr>
            <w:tcW w:w="5040" w:type="dxa"/>
            <w:shd w:val="clear" w:color="auto" w:fill="F6F8FC"/>
            <w:tcMar>
              <w:top w:w="100" w:type="dxa"/>
              <w:left w:w="120" w:type="dxa"/>
              <w:bottom w:w="100" w:type="dxa"/>
              <w:right w:w="120" w:type="dxa"/>
            </w:tcMar>
          </w:tcPr>
          <w:p w14:paraId="27627DFD" w14:textId="77777777" w:rsidR="00050694" w:rsidRDefault="00000000">
            <w:r>
              <w:rPr>
                <w:b/>
              </w:rPr>
              <w:t>Effective date</w:t>
            </w:r>
          </w:p>
        </w:tc>
        <w:tc>
          <w:tcPr>
            <w:tcW w:w="5040" w:type="dxa"/>
            <w:tcMar>
              <w:top w:w="100" w:type="dxa"/>
              <w:left w:w="120" w:type="dxa"/>
              <w:bottom w:w="100" w:type="dxa"/>
              <w:right w:w="120" w:type="dxa"/>
            </w:tcMar>
          </w:tcPr>
          <w:p w14:paraId="0888196C" w14:textId="77777777" w:rsidR="00050694" w:rsidRDefault="00000000">
            <w:r>
              <w:t>[Month day, year]</w:t>
            </w:r>
          </w:p>
        </w:tc>
      </w:tr>
      <w:tr w:rsidR="00050694" w14:paraId="2B690A40" w14:textId="77777777">
        <w:trPr>
          <w:jc w:val="center"/>
        </w:trPr>
        <w:tc>
          <w:tcPr>
            <w:tcW w:w="5040" w:type="dxa"/>
            <w:shd w:val="clear" w:color="auto" w:fill="F6F8FC"/>
            <w:tcMar>
              <w:top w:w="100" w:type="dxa"/>
              <w:left w:w="120" w:type="dxa"/>
              <w:bottom w:w="100" w:type="dxa"/>
              <w:right w:w="120" w:type="dxa"/>
            </w:tcMar>
          </w:tcPr>
          <w:p w14:paraId="1212B7D6" w14:textId="77777777" w:rsidR="00050694" w:rsidRDefault="00000000">
            <w:r>
              <w:rPr>
                <w:b/>
              </w:rPr>
              <w:t>Version</w:t>
            </w:r>
          </w:p>
        </w:tc>
        <w:tc>
          <w:tcPr>
            <w:tcW w:w="5040" w:type="dxa"/>
            <w:tcMar>
              <w:top w:w="100" w:type="dxa"/>
              <w:left w:w="120" w:type="dxa"/>
              <w:bottom w:w="100" w:type="dxa"/>
              <w:right w:w="120" w:type="dxa"/>
            </w:tcMar>
          </w:tcPr>
          <w:p w14:paraId="73234709" w14:textId="77777777" w:rsidR="00050694" w:rsidRDefault="00000000">
            <w:r>
              <w:t>1.0</w:t>
            </w:r>
          </w:p>
        </w:tc>
      </w:tr>
      <w:tr w:rsidR="00050694" w14:paraId="7B653CE2" w14:textId="77777777">
        <w:trPr>
          <w:jc w:val="center"/>
        </w:trPr>
        <w:tc>
          <w:tcPr>
            <w:tcW w:w="5040" w:type="dxa"/>
            <w:shd w:val="clear" w:color="auto" w:fill="F6F8FC"/>
            <w:tcMar>
              <w:top w:w="100" w:type="dxa"/>
              <w:left w:w="120" w:type="dxa"/>
              <w:bottom w:w="100" w:type="dxa"/>
              <w:right w:w="120" w:type="dxa"/>
            </w:tcMar>
          </w:tcPr>
          <w:p w14:paraId="77BAF4F7" w14:textId="77777777" w:rsidR="00050694" w:rsidRDefault="00000000">
            <w:r>
              <w:rPr>
                <w:b/>
              </w:rPr>
              <w:t>Next review date</w:t>
            </w:r>
          </w:p>
        </w:tc>
        <w:tc>
          <w:tcPr>
            <w:tcW w:w="5040" w:type="dxa"/>
            <w:tcMar>
              <w:top w:w="100" w:type="dxa"/>
              <w:left w:w="120" w:type="dxa"/>
              <w:bottom w:w="100" w:type="dxa"/>
              <w:right w:w="120" w:type="dxa"/>
            </w:tcMar>
          </w:tcPr>
          <w:p w14:paraId="5A549F04" w14:textId="77777777" w:rsidR="00050694" w:rsidRDefault="00000000">
            <w:r>
              <w:t>[Month day, year]</w:t>
            </w:r>
          </w:p>
        </w:tc>
      </w:tr>
      <w:tr w:rsidR="00050694" w14:paraId="37A434BA" w14:textId="77777777">
        <w:trPr>
          <w:jc w:val="center"/>
        </w:trPr>
        <w:tc>
          <w:tcPr>
            <w:tcW w:w="5040" w:type="dxa"/>
            <w:shd w:val="clear" w:color="auto" w:fill="F6F8FC"/>
            <w:tcMar>
              <w:top w:w="100" w:type="dxa"/>
              <w:left w:w="120" w:type="dxa"/>
              <w:bottom w:w="100" w:type="dxa"/>
              <w:right w:w="120" w:type="dxa"/>
            </w:tcMar>
          </w:tcPr>
          <w:p w14:paraId="75DDA189" w14:textId="77777777" w:rsidR="00050694" w:rsidRDefault="00000000">
            <w:r>
              <w:rPr>
                <w:b/>
              </w:rPr>
              <w:t>Approved password manager</w:t>
            </w:r>
          </w:p>
        </w:tc>
        <w:tc>
          <w:tcPr>
            <w:tcW w:w="5040" w:type="dxa"/>
            <w:tcMar>
              <w:top w:w="100" w:type="dxa"/>
              <w:left w:w="120" w:type="dxa"/>
              <w:bottom w:w="100" w:type="dxa"/>
              <w:right w:w="120" w:type="dxa"/>
            </w:tcMar>
          </w:tcPr>
          <w:p w14:paraId="528AF34A" w14:textId="77777777" w:rsidR="00050694" w:rsidRDefault="00000000">
            <w:r>
              <w:t>[Product name]</w:t>
            </w:r>
          </w:p>
        </w:tc>
      </w:tr>
    </w:tbl>
    <w:p w14:paraId="31878B0E" w14:textId="77777777" w:rsidR="00050694" w:rsidRDefault="00000000">
      <w:pPr>
        <w:pStyle w:val="Heading2"/>
      </w:pPr>
      <w:r>
        <w:t>Disclaimer</w:t>
      </w:r>
    </w:p>
    <w:p w14:paraId="37EE5681" w14:textId="77777777" w:rsidR="00050694" w:rsidRDefault="00000000">
      <w:r>
        <w:t>This sample policy should be customized for your company, regulatory obligations, contractual requirements, technology environment, and risk profile. It is intended as a starting point and is not legal advice.</w:t>
      </w:r>
    </w:p>
    <w:p w14:paraId="4D79521A" w14:textId="77777777" w:rsidR="00050694" w:rsidRDefault="00000000">
      <w:r>
        <w:br w:type="page"/>
      </w:r>
    </w:p>
    <w:p w14:paraId="424F94F9" w14:textId="77777777" w:rsidR="00050694" w:rsidRDefault="00000000">
      <w:pPr>
        <w:pStyle w:val="Heading1"/>
      </w:pPr>
      <w:r>
        <w:lastRenderedPageBreak/>
        <w:t>1. Purpose</w:t>
      </w:r>
    </w:p>
    <w:p w14:paraId="0212F305" w14:textId="77777777" w:rsidR="00050694" w:rsidRDefault="00000000">
      <w:r>
        <w:t>This policy establishes minimum requirements for creating, storing, sharing, protecting, recovering, and retiring passwords and other authentication credentials used to access company systems, applications, devices, services, and data.</w:t>
      </w:r>
    </w:p>
    <w:p w14:paraId="2C01C323" w14:textId="77777777" w:rsidR="00050694" w:rsidRDefault="00000000">
      <w:pPr>
        <w:pStyle w:val="Heading1"/>
      </w:pPr>
      <w:r>
        <w:t>2. Scope</w:t>
      </w:r>
    </w:p>
    <w:p w14:paraId="5AA7D1A9" w14:textId="77777777" w:rsidR="00050694" w:rsidRDefault="00000000">
      <w:r>
        <w:t>This policy applies to employees, owners, executives, contractors, temporary workers, interns, vendors, managed service providers, and other third parties with authorized access to company systems or data.</w:t>
      </w:r>
    </w:p>
    <w:p w14:paraId="732316DC" w14:textId="77777777" w:rsidR="00050694" w:rsidRDefault="00000000">
      <w:pPr>
        <w:pStyle w:val="Heading1"/>
      </w:pPr>
      <w:r>
        <w:t>3. Password Length</w:t>
      </w:r>
    </w:p>
    <w:p w14:paraId="2430E74A" w14:textId="77777777" w:rsidR="00050694" w:rsidRDefault="00000000">
      <w:r>
        <w:t>Passwords used as a single authentication factor must contain at least 15 characters whenever technically supported. Systems that use passwords only as part of multi-factor authentication may permit a minimum of eight characters, but longer unique passwords generated and stored by the approved password manager remain the company standard.</w:t>
      </w:r>
    </w:p>
    <w:tbl>
      <w:tblPr>
        <w:tblW w:w="0" w:type="auto"/>
        <w:jc w:val="center"/>
        <w:tblLook w:val="04A0" w:firstRow="1" w:lastRow="0" w:firstColumn="1" w:lastColumn="0" w:noHBand="0" w:noVBand="1"/>
      </w:tblPr>
      <w:tblGrid>
        <w:gridCol w:w="10080"/>
      </w:tblGrid>
      <w:tr w:rsidR="00050694" w14:paraId="5D686584" w14:textId="77777777">
        <w:trPr>
          <w:jc w:val="center"/>
        </w:trPr>
        <w:tc>
          <w:tcPr>
            <w:tcW w:w="10080" w:type="dxa"/>
            <w:shd w:val="clear" w:color="auto" w:fill="EEF4FF"/>
            <w:tcMar>
              <w:top w:w="120" w:type="dxa"/>
              <w:left w:w="150" w:type="dxa"/>
              <w:bottom w:w="120" w:type="dxa"/>
              <w:right w:w="150" w:type="dxa"/>
            </w:tcMar>
          </w:tcPr>
          <w:p w14:paraId="0325D4FB" w14:textId="77777777" w:rsidR="00050694" w:rsidRDefault="00000000">
            <w:r>
              <w:rPr>
                <w:b/>
                <w:color w:val="0062FF"/>
              </w:rPr>
              <w:t xml:space="preserve">STACK TIP  </w:t>
            </w:r>
            <w:r>
              <w:t>Long passwords are easier to manage when employees use a company-approved password manager instead of memorizing them.</w:t>
            </w:r>
          </w:p>
        </w:tc>
      </w:tr>
    </w:tbl>
    <w:p w14:paraId="090B6BF9" w14:textId="77777777" w:rsidR="00050694" w:rsidRDefault="00000000">
      <w:pPr>
        <w:pStyle w:val="Heading1"/>
      </w:pPr>
      <w:r>
        <w:t>4. Password Requirements</w:t>
      </w:r>
    </w:p>
    <w:p w14:paraId="1639F2F8" w14:textId="77777777" w:rsidR="00050694" w:rsidRDefault="00000000">
      <w:pPr>
        <w:pStyle w:val="ListBullet"/>
      </w:pPr>
      <w:r>
        <w:t>Use a unique password for every business account.</w:t>
      </w:r>
    </w:p>
    <w:p w14:paraId="482AE0D2" w14:textId="77777777" w:rsidR="00050694" w:rsidRDefault="00000000">
      <w:pPr>
        <w:pStyle w:val="ListBullet"/>
      </w:pPr>
      <w:r>
        <w:t>Use the approved password manager to generate long, random passwords whenever possible.</w:t>
      </w:r>
    </w:p>
    <w:p w14:paraId="2FFFB221" w14:textId="77777777" w:rsidR="00050694" w:rsidRDefault="00000000">
      <w:pPr>
        <w:pStyle w:val="ListBullet"/>
      </w:pPr>
      <w:r>
        <w:t>Do not require arbitrary mixtures of uppercase letters, lowercase letters, numbers, and symbols when the system follows current NIST guidance.</w:t>
      </w:r>
    </w:p>
    <w:p w14:paraId="7F616DA8" w14:textId="77777777" w:rsidR="00050694" w:rsidRDefault="00000000">
      <w:pPr>
        <w:pStyle w:val="ListBullet"/>
      </w:pPr>
      <w:r>
        <w:t>Never reuse a company password for a personal account.</w:t>
      </w:r>
    </w:p>
    <w:p w14:paraId="57B8C5C8" w14:textId="77777777" w:rsidR="00050694" w:rsidRDefault="00000000">
      <w:pPr>
        <w:pStyle w:val="ListBullet"/>
      </w:pPr>
      <w:r>
        <w:t>Never share passwords through email, text messages, Teams, Slack, or similar tools.</w:t>
      </w:r>
    </w:p>
    <w:p w14:paraId="66887E51" w14:textId="77777777" w:rsidR="00050694" w:rsidRDefault="00000000">
      <w:pPr>
        <w:pStyle w:val="ListBullet"/>
      </w:pPr>
      <w:r>
        <w:t>Never store passwords in spreadsheets, word-processing files, unapproved notes, or browsers.</w:t>
      </w:r>
    </w:p>
    <w:p w14:paraId="1D62E283" w14:textId="77777777" w:rsidR="00050694" w:rsidRDefault="00000000">
      <w:pPr>
        <w:pStyle w:val="Heading1"/>
      </w:pPr>
      <w:r>
        <w:t>5. Compromised-Password Screening</w:t>
      </w:r>
    </w:p>
    <w:p w14:paraId="75988371" w14:textId="77777777" w:rsidR="00050694" w:rsidRDefault="00000000">
      <w:r>
        <w:t>New and changed passwords must be checked against a blocklist of commonly used, expected, or known compromised passwords whenever the technology supports it. A rejected password must be replaced rather than modified with a predictable number, symbol, or capitalization pattern.</w:t>
      </w:r>
    </w:p>
    <w:tbl>
      <w:tblPr>
        <w:tblW w:w="0" w:type="auto"/>
        <w:jc w:val="center"/>
        <w:tblLook w:val="04A0" w:firstRow="1" w:lastRow="0" w:firstColumn="1" w:lastColumn="0" w:noHBand="0" w:noVBand="1"/>
      </w:tblPr>
      <w:tblGrid>
        <w:gridCol w:w="10080"/>
      </w:tblGrid>
      <w:tr w:rsidR="00050694" w14:paraId="1202D0A3" w14:textId="77777777">
        <w:trPr>
          <w:jc w:val="center"/>
        </w:trPr>
        <w:tc>
          <w:tcPr>
            <w:tcW w:w="10080" w:type="dxa"/>
            <w:shd w:val="clear" w:color="auto" w:fill="EEF4FF"/>
            <w:tcMar>
              <w:top w:w="120" w:type="dxa"/>
              <w:left w:w="150" w:type="dxa"/>
              <w:bottom w:w="120" w:type="dxa"/>
              <w:right w:w="150" w:type="dxa"/>
            </w:tcMar>
          </w:tcPr>
          <w:p w14:paraId="76F78DAB" w14:textId="77777777" w:rsidR="00050694" w:rsidRDefault="00000000">
            <w:r>
              <w:rPr>
                <w:b/>
                <w:color w:val="0062FF"/>
              </w:rPr>
              <w:t xml:space="preserve">STACK TIP  </w:t>
            </w:r>
            <w:r>
              <w:t>Compromised-password screening should happen when a password is created or changed. Avoid continuously checking employee passwords in ways that expose them.</w:t>
            </w:r>
          </w:p>
        </w:tc>
      </w:tr>
    </w:tbl>
    <w:p w14:paraId="110AA5E7" w14:textId="77777777" w:rsidR="00050694" w:rsidRDefault="00000000">
      <w:pPr>
        <w:pStyle w:val="Heading1"/>
      </w:pPr>
      <w:r>
        <w:t>6. Password Managers</w:t>
      </w:r>
    </w:p>
    <w:p w14:paraId="608B5A98" w14:textId="77777777" w:rsidR="00050694" w:rsidRDefault="00000000">
      <w:r>
        <w:t>Employees must store company credentials only in the company-approved password manager. The password manager must use MFA and should support password generation, encrypted vaults, role-based sharing, audit activity, and administrative access controls.</w:t>
      </w:r>
    </w:p>
    <w:tbl>
      <w:tblPr>
        <w:tblW w:w="0" w:type="auto"/>
        <w:jc w:val="center"/>
        <w:tblLook w:val="04A0" w:firstRow="1" w:lastRow="0" w:firstColumn="1" w:lastColumn="0" w:noHBand="0" w:noVBand="1"/>
      </w:tblPr>
      <w:tblGrid>
        <w:gridCol w:w="10080"/>
      </w:tblGrid>
      <w:tr w:rsidR="00050694" w14:paraId="1862D9DD" w14:textId="77777777">
        <w:trPr>
          <w:jc w:val="center"/>
        </w:trPr>
        <w:tc>
          <w:tcPr>
            <w:tcW w:w="10080" w:type="dxa"/>
            <w:shd w:val="clear" w:color="auto" w:fill="EEF4FF"/>
            <w:tcMar>
              <w:top w:w="120" w:type="dxa"/>
              <w:left w:w="150" w:type="dxa"/>
              <w:bottom w:w="120" w:type="dxa"/>
              <w:right w:w="150" w:type="dxa"/>
            </w:tcMar>
          </w:tcPr>
          <w:p w14:paraId="5D1F6497" w14:textId="77777777" w:rsidR="00050694" w:rsidRDefault="00000000">
            <w:r>
              <w:rPr>
                <w:b/>
                <w:color w:val="0062FF"/>
              </w:rPr>
              <w:lastRenderedPageBreak/>
              <w:t xml:space="preserve">STACK TIP  </w:t>
            </w:r>
            <w:r>
              <w:t>Require MFA for the password manager itself. The vault protects many accounts and should receive the strongest available authentication.</w:t>
            </w:r>
          </w:p>
        </w:tc>
      </w:tr>
    </w:tbl>
    <w:p w14:paraId="234CA112" w14:textId="77777777" w:rsidR="00050694" w:rsidRDefault="00000000">
      <w:pPr>
        <w:pStyle w:val="Heading1"/>
      </w:pPr>
      <w:r>
        <w:t>7. Multi-Factor Authentication</w:t>
      </w:r>
    </w:p>
    <w:p w14:paraId="4DCBE257" w14:textId="77777777" w:rsidR="00050694" w:rsidRDefault="00000000">
      <w:r>
        <w:t>MFA is required for email, Microsoft 365, remote access, administrative accounts, password managers, financial systems, cloud storage, and other business-critical services whenever supported. Phishing-resistant methods such as passkeys and FIDO2 security keys are preferred. When those methods are unavailable, authenticator applications with number matching are preferred over SMS or voice codes.</w:t>
      </w:r>
    </w:p>
    <w:tbl>
      <w:tblPr>
        <w:tblW w:w="0" w:type="auto"/>
        <w:jc w:val="center"/>
        <w:tblLook w:val="04A0" w:firstRow="1" w:lastRow="0" w:firstColumn="1" w:lastColumn="0" w:noHBand="0" w:noVBand="1"/>
      </w:tblPr>
      <w:tblGrid>
        <w:gridCol w:w="10080"/>
      </w:tblGrid>
      <w:tr w:rsidR="00050694" w14:paraId="05060601" w14:textId="77777777">
        <w:trPr>
          <w:jc w:val="center"/>
        </w:trPr>
        <w:tc>
          <w:tcPr>
            <w:tcW w:w="10080" w:type="dxa"/>
            <w:shd w:val="clear" w:color="auto" w:fill="EEF4FF"/>
            <w:tcMar>
              <w:top w:w="120" w:type="dxa"/>
              <w:left w:w="150" w:type="dxa"/>
              <w:bottom w:w="120" w:type="dxa"/>
              <w:right w:w="150" w:type="dxa"/>
            </w:tcMar>
          </w:tcPr>
          <w:p w14:paraId="21B7034B" w14:textId="77777777" w:rsidR="00050694" w:rsidRDefault="00000000">
            <w:r>
              <w:rPr>
                <w:b/>
                <w:color w:val="0062FF"/>
              </w:rPr>
              <w:t xml:space="preserve">STACK TIP  </w:t>
            </w:r>
            <w:r>
              <w:t>SMS is better than no MFA, but passkeys and security keys offer stronger protection against phishing.</w:t>
            </w:r>
          </w:p>
        </w:tc>
      </w:tr>
    </w:tbl>
    <w:p w14:paraId="5320F8DA" w14:textId="77777777" w:rsidR="00050694" w:rsidRDefault="00000000">
      <w:pPr>
        <w:pStyle w:val="Heading1"/>
      </w:pPr>
      <w:r>
        <w:t>8. Password Changes</w:t>
      </w:r>
    </w:p>
    <w:p w14:paraId="32F7AEA5" w14:textId="77777777" w:rsidR="00050694" w:rsidRDefault="00000000">
      <w:r>
        <w:t>Passwords must not be changed solely because a fixed number of days has passed. Passwords must be changed promptly when compromise is suspected or confirmed, credentials were entered into a phishing site, malware is detected, unauthorized access is observed, or information technology directs a reset after an incident.</w:t>
      </w:r>
    </w:p>
    <w:tbl>
      <w:tblPr>
        <w:tblW w:w="0" w:type="auto"/>
        <w:jc w:val="center"/>
        <w:tblLook w:val="04A0" w:firstRow="1" w:lastRow="0" w:firstColumn="1" w:lastColumn="0" w:noHBand="0" w:noVBand="1"/>
      </w:tblPr>
      <w:tblGrid>
        <w:gridCol w:w="10080"/>
      </w:tblGrid>
      <w:tr w:rsidR="00050694" w14:paraId="3A88B23F" w14:textId="77777777">
        <w:trPr>
          <w:jc w:val="center"/>
        </w:trPr>
        <w:tc>
          <w:tcPr>
            <w:tcW w:w="10080" w:type="dxa"/>
            <w:shd w:val="clear" w:color="auto" w:fill="EEF4FF"/>
            <w:tcMar>
              <w:top w:w="120" w:type="dxa"/>
              <w:left w:w="150" w:type="dxa"/>
              <w:bottom w:w="120" w:type="dxa"/>
              <w:right w:w="150" w:type="dxa"/>
            </w:tcMar>
          </w:tcPr>
          <w:p w14:paraId="62F3B58C" w14:textId="77777777" w:rsidR="00050694" w:rsidRDefault="00000000">
            <w:r>
              <w:rPr>
                <w:b/>
                <w:color w:val="0062FF"/>
              </w:rPr>
              <w:t xml:space="preserve">STACK TIP  </w:t>
            </w:r>
            <w:r>
              <w:t>Forced expiration can lead to predictable changes such as Spring2026! becoming Summer2026!. Reset based on risk and evidence instead.</w:t>
            </w:r>
          </w:p>
        </w:tc>
      </w:tr>
    </w:tbl>
    <w:p w14:paraId="292AF46E" w14:textId="77777777" w:rsidR="00050694" w:rsidRDefault="00000000">
      <w:pPr>
        <w:pStyle w:val="Heading1"/>
      </w:pPr>
      <w:r>
        <w:t>9. Password Reset and Recovery</w:t>
      </w:r>
    </w:p>
    <w:p w14:paraId="6FEFD5C2" w14:textId="77777777" w:rsidR="00050694" w:rsidRDefault="00000000">
      <w:r>
        <w:t>Password resets must verify the requester through approved channels. Recovery must not rely solely on security questions or information readily available through email, social media, public records, or previous data breaches.</w:t>
      </w:r>
    </w:p>
    <w:p w14:paraId="5EE85D59" w14:textId="77777777" w:rsidR="00050694" w:rsidRDefault="00000000">
      <w:pPr>
        <w:pStyle w:val="Heading1"/>
      </w:pPr>
      <w:r>
        <w:t>10. Browser Passwords</w:t>
      </w:r>
    </w:p>
    <w:p w14:paraId="13521280" w14:textId="77777777" w:rsidR="00050694" w:rsidRDefault="00000000">
      <w:r>
        <w:t>Business credentials may not be stored in consumer web-browser password storage. Existing browser-stored credentials must be migrated into the approved password manager and removed from the browser.</w:t>
      </w:r>
    </w:p>
    <w:p w14:paraId="4E9C72F2" w14:textId="77777777" w:rsidR="00050694" w:rsidRDefault="00000000">
      <w:pPr>
        <w:pStyle w:val="Heading1"/>
      </w:pPr>
      <w:r>
        <w:t>11. Shared Credentials</w:t>
      </w:r>
    </w:p>
    <w:p w14:paraId="62F27B77" w14:textId="77777777" w:rsidR="00050694" w:rsidRDefault="00000000">
      <w:r>
        <w:t>Shared credentials should be eliminated whenever individual accounts are available. When sharing is unavoidable, credentials must be stored in an approved shared vault with role-based permissions, named owners, and an auditable access process.</w:t>
      </w:r>
    </w:p>
    <w:tbl>
      <w:tblPr>
        <w:tblW w:w="0" w:type="auto"/>
        <w:jc w:val="center"/>
        <w:tblLook w:val="04A0" w:firstRow="1" w:lastRow="0" w:firstColumn="1" w:lastColumn="0" w:noHBand="0" w:noVBand="1"/>
      </w:tblPr>
      <w:tblGrid>
        <w:gridCol w:w="10080"/>
      </w:tblGrid>
      <w:tr w:rsidR="00050694" w14:paraId="7D5DCA56" w14:textId="77777777">
        <w:trPr>
          <w:jc w:val="center"/>
        </w:trPr>
        <w:tc>
          <w:tcPr>
            <w:tcW w:w="10080" w:type="dxa"/>
            <w:shd w:val="clear" w:color="auto" w:fill="EEF4FF"/>
            <w:tcMar>
              <w:top w:w="120" w:type="dxa"/>
              <w:left w:w="150" w:type="dxa"/>
              <w:bottom w:w="120" w:type="dxa"/>
              <w:right w:w="150" w:type="dxa"/>
            </w:tcMar>
          </w:tcPr>
          <w:p w14:paraId="0B775E00" w14:textId="77777777" w:rsidR="00050694" w:rsidRDefault="00000000">
            <w:r>
              <w:rPr>
                <w:b/>
                <w:color w:val="0062FF"/>
              </w:rPr>
              <w:t xml:space="preserve">STACK TIP  </w:t>
            </w:r>
            <w:r>
              <w:t>A shared vault allows access without revealing the password and makes offboarding easier.</w:t>
            </w:r>
          </w:p>
        </w:tc>
      </w:tr>
    </w:tbl>
    <w:p w14:paraId="1228491E" w14:textId="77777777" w:rsidR="00050694" w:rsidRDefault="00000000">
      <w:pPr>
        <w:pStyle w:val="Heading1"/>
      </w:pPr>
      <w:r>
        <w:lastRenderedPageBreak/>
        <w:t>12. Privileged Accounts</w:t>
      </w:r>
    </w:p>
    <w:p w14:paraId="2E89D1C0" w14:textId="77777777" w:rsidR="00050694" w:rsidRDefault="00000000">
      <w:r>
        <w:t>Administrative and privileged accounts require separate credentials, MFA, limited assignment, logging, and periodic review. Privileged accounts must not be used for routine email, web browsing, or daily work.</w:t>
      </w:r>
    </w:p>
    <w:tbl>
      <w:tblPr>
        <w:tblW w:w="0" w:type="auto"/>
        <w:jc w:val="center"/>
        <w:tblLook w:val="04A0" w:firstRow="1" w:lastRow="0" w:firstColumn="1" w:lastColumn="0" w:noHBand="0" w:noVBand="1"/>
      </w:tblPr>
      <w:tblGrid>
        <w:gridCol w:w="10080"/>
      </w:tblGrid>
      <w:tr w:rsidR="00050694" w14:paraId="5DC900C3" w14:textId="77777777">
        <w:trPr>
          <w:jc w:val="center"/>
        </w:trPr>
        <w:tc>
          <w:tcPr>
            <w:tcW w:w="10080" w:type="dxa"/>
            <w:shd w:val="clear" w:color="auto" w:fill="EEF4FF"/>
            <w:tcMar>
              <w:top w:w="120" w:type="dxa"/>
              <w:left w:w="150" w:type="dxa"/>
              <w:bottom w:w="120" w:type="dxa"/>
              <w:right w:w="150" w:type="dxa"/>
            </w:tcMar>
          </w:tcPr>
          <w:p w14:paraId="78408205" w14:textId="77777777" w:rsidR="00050694" w:rsidRDefault="00000000">
            <w:r>
              <w:rPr>
                <w:b/>
                <w:color w:val="0062FF"/>
              </w:rPr>
              <w:t xml:space="preserve">STACK TIP  </w:t>
            </w:r>
            <w:r>
              <w:t>Use separate named administrator accounts so actions can be traced to an individual.</w:t>
            </w:r>
          </w:p>
        </w:tc>
      </w:tr>
    </w:tbl>
    <w:p w14:paraId="032F17EE" w14:textId="77777777" w:rsidR="00050694" w:rsidRDefault="00000000">
      <w:pPr>
        <w:pStyle w:val="Heading1"/>
      </w:pPr>
      <w:r>
        <w:t>13. Service Accounts and Application Credentials</w:t>
      </w:r>
    </w:p>
    <w:p w14:paraId="40B5A5D5" w14:textId="77777777" w:rsidR="00050694" w:rsidRDefault="00000000">
      <w:r>
        <w:t>Service accounts, API keys, automation credentials, tokens, and other non-human credentials must have assigned owners, documented business purposes, secure storage, least-privilege permissions, and periodic reviews. They may not be embedded in unsecured scripts, spreadsheets, email, or chat.</w:t>
      </w:r>
    </w:p>
    <w:tbl>
      <w:tblPr>
        <w:tblW w:w="0" w:type="auto"/>
        <w:jc w:val="center"/>
        <w:tblLook w:val="04A0" w:firstRow="1" w:lastRow="0" w:firstColumn="1" w:lastColumn="0" w:noHBand="0" w:noVBand="1"/>
      </w:tblPr>
      <w:tblGrid>
        <w:gridCol w:w="10080"/>
      </w:tblGrid>
      <w:tr w:rsidR="00050694" w14:paraId="20F88E33" w14:textId="77777777">
        <w:trPr>
          <w:jc w:val="center"/>
        </w:trPr>
        <w:tc>
          <w:tcPr>
            <w:tcW w:w="10080" w:type="dxa"/>
            <w:shd w:val="clear" w:color="auto" w:fill="EEF4FF"/>
            <w:tcMar>
              <w:top w:w="120" w:type="dxa"/>
              <w:left w:w="150" w:type="dxa"/>
              <w:bottom w:w="120" w:type="dxa"/>
              <w:right w:w="150" w:type="dxa"/>
            </w:tcMar>
          </w:tcPr>
          <w:p w14:paraId="13A7A1D8" w14:textId="77777777" w:rsidR="00050694" w:rsidRDefault="00000000">
            <w:r>
              <w:rPr>
                <w:b/>
                <w:color w:val="0062FF"/>
              </w:rPr>
              <w:t xml:space="preserve">STACK TIP  </w:t>
            </w:r>
            <w:r>
              <w:t>Non-human credentials are easy to overlook. Include them in inventories, reviews, and incident response.</w:t>
            </w:r>
          </w:p>
        </w:tc>
      </w:tr>
    </w:tbl>
    <w:p w14:paraId="7A73ECE0" w14:textId="77777777" w:rsidR="00050694" w:rsidRDefault="00000000">
      <w:pPr>
        <w:pStyle w:val="Heading1"/>
      </w:pPr>
      <w:r>
        <w:t>14. Vendor and Third-Party Access</w:t>
      </w:r>
    </w:p>
    <w:p w14:paraId="4C534FF9" w14:textId="77777777" w:rsidR="00050694" w:rsidRDefault="00000000">
      <w:r>
        <w:t>Vendors and third parties must use unique accounts whenever possible. Access must use MFA when supported, follow least privilege, be reviewed periodically, and be removed promptly when the business need ends.</w:t>
      </w:r>
    </w:p>
    <w:p w14:paraId="332FF460" w14:textId="77777777" w:rsidR="00050694" w:rsidRDefault="00000000">
      <w:pPr>
        <w:pStyle w:val="Heading1"/>
      </w:pPr>
      <w:r>
        <w:t>15. Passkeys</w:t>
      </w:r>
    </w:p>
    <w:p w14:paraId="51BED673" w14:textId="77777777" w:rsidR="00050694" w:rsidRDefault="00000000">
      <w:r>
        <w:t>Passkeys should be adopted where supported because they can reduce exposure to phishing and password reuse. The company must maintain approved enrollment, device management, backup, and recovery procedures.</w:t>
      </w:r>
    </w:p>
    <w:tbl>
      <w:tblPr>
        <w:tblW w:w="0" w:type="auto"/>
        <w:jc w:val="center"/>
        <w:tblLook w:val="04A0" w:firstRow="1" w:lastRow="0" w:firstColumn="1" w:lastColumn="0" w:noHBand="0" w:noVBand="1"/>
      </w:tblPr>
      <w:tblGrid>
        <w:gridCol w:w="10080"/>
      </w:tblGrid>
      <w:tr w:rsidR="00050694" w14:paraId="28746C8A" w14:textId="77777777">
        <w:trPr>
          <w:jc w:val="center"/>
        </w:trPr>
        <w:tc>
          <w:tcPr>
            <w:tcW w:w="10080" w:type="dxa"/>
            <w:shd w:val="clear" w:color="auto" w:fill="EEF4FF"/>
            <w:tcMar>
              <w:top w:w="120" w:type="dxa"/>
              <w:left w:w="150" w:type="dxa"/>
              <w:bottom w:w="120" w:type="dxa"/>
              <w:right w:w="150" w:type="dxa"/>
            </w:tcMar>
          </w:tcPr>
          <w:p w14:paraId="2135CFDF" w14:textId="77777777" w:rsidR="00050694" w:rsidRDefault="00000000">
            <w:r>
              <w:rPr>
                <w:b/>
                <w:color w:val="0062FF"/>
              </w:rPr>
              <w:t xml:space="preserve">STACK TIP  </w:t>
            </w:r>
            <w:r>
              <w:t>Plan recovery before rolling out passkeys so a lost device does not become an account-lockout event.</w:t>
            </w:r>
          </w:p>
        </w:tc>
      </w:tr>
    </w:tbl>
    <w:p w14:paraId="1574AB66" w14:textId="77777777" w:rsidR="00050694" w:rsidRDefault="00000000">
      <w:pPr>
        <w:pStyle w:val="Heading1"/>
      </w:pPr>
      <w:r>
        <w:t>16. AI Systems</w:t>
      </w:r>
    </w:p>
    <w:p w14:paraId="37E0238C" w14:textId="77777777" w:rsidR="00050694" w:rsidRDefault="00000000">
      <w:r>
        <w:t>Employees may not enter company passwords, API keys, authentication tokens, recovery codes, client credentials, or other sensitive authentication information into public or unapproved generative AI systems.</w:t>
      </w:r>
    </w:p>
    <w:p w14:paraId="2CC0943E" w14:textId="77777777" w:rsidR="00050694" w:rsidRDefault="00000000">
      <w:pPr>
        <w:pStyle w:val="Heading1"/>
      </w:pPr>
      <w:r>
        <w:t>17. Employee Offboarding</w:t>
      </w:r>
    </w:p>
    <w:p w14:paraId="7303D4F4" w14:textId="77777777" w:rsidR="00050694" w:rsidRDefault="00000000">
      <w:r>
        <w:t>Upon separation or a role change, the company must disable accounts, remove MFA methods, revoke password-vault access, rotate affected shared credentials, recover company devices, and document completion.</w:t>
      </w:r>
    </w:p>
    <w:p w14:paraId="750D8AF3" w14:textId="77777777" w:rsidR="00050694" w:rsidRDefault="00000000">
      <w:pPr>
        <w:pStyle w:val="Heading1"/>
      </w:pPr>
      <w:r>
        <w:lastRenderedPageBreak/>
        <w:t>18. Reporting Suspected Credential Exposure</w:t>
      </w:r>
    </w:p>
    <w:p w14:paraId="2398854A" w14:textId="77777777" w:rsidR="00050694" w:rsidRDefault="00000000">
      <w:r>
        <w:t>Employees must immediately report suspected password exposure, phishing entry, unexpected MFA prompts, password-manager alerts, or unusual login activity through the approved reporting process: [Insert reporting method].</w:t>
      </w:r>
    </w:p>
    <w:p w14:paraId="2D3E28D9" w14:textId="77777777" w:rsidR="00050694" w:rsidRDefault="00000000">
      <w:pPr>
        <w:pStyle w:val="Heading1"/>
      </w:pPr>
      <w:r>
        <w:t>19. Security Awareness</w:t>
      </w:r>
    </w:p>
    <w:p w14:paraId="44B1D2D1" w14:textId="77777777" w:rsidR="00050694" w:rsidRDefault="00000000">
      <w:r>
        <w:t>Employees must receive recurring training on password security, password managers, phishing, MFA, passkeys, credential sharing, AI risks, and incident reporting.</w:t>
      </w:r>
    </w:p>
    <w:p w14:paraId="74F1686D" w14:textId="77777777" w:rsidR="00050694" w:rsidRDefault="00000000">
      <w:pPr>
        <w:pStyle w:val="Heading1"/>
      </w:pPr>
      <w:r>
        <w:t>20. Exceptions</w:t>
      </w:r>
    </w:p>
    <w:p w14:paraId="6C4008E5" w14:textId="77777777" w:rsidR="00050694" w:rsidRDefault="00000000">
      <w:r>
        <w:t>Exceptions must be documented, risk reviewed, time limited, approved by [role], and reevaluated before renewal.</w:t>
      </w:r>
    </w:p>
    <w:p w14:paraId="6FA21739" w14:textId="77777777" w:rsidR="00050694" w:rsidRDefault="00000000">
      <w:pPr>
        <w:pStyle w:val="Heading1"/>
      </w:pPr>
      <w:r>
        <w:t>21. Review Cadence</w:t>
      </w:r>
    </w:p>
    <w:p w14:paraId="3861E469" w14:textId="77777777" w:rsidR="00050694" w:rsidRDefault="00000000">
      <w:r>
        <w:t>This policy must be reviewed at least annually and after significant system changes, authentication changes, regulatory or contract changes, cyber insurance renewals, or credential-related incidents.</w:t>
      </w:r>
    </w:p>
    <w:p w14:paraId="1E846FFB" w14:textId="77777777" w:rsidR="00050694" w:rsidRDefault="00000000">
      <w:r>
        <w:br w:type="page"/>
      </w:r>
    </w:p>
    <w:p w14:paraId="59C8AFDF" w14:textId="77777777" w:rsidR="00050694" w:rsidRDefault="00000000">
      <w:pPr>
        <w:pStyle w:val="Heading1"/>
      </w:pPr>
      <w:r>
        <w:lastRenderedPageBreak/>
        <w:t>Implementation Checklist</w:t>
      </w:r>
    </w:p>
    <w:p w14:paraId="030FE6FE" w14:textId="77777777" w:rsidR="00050694" w:rsidRDefault="00000000">
      <w:r>
        <w:t>☐  Approved password manager selected and deployed</w:t>
      </w:r>
    </w:p>
    <w:p w14:paraId="141D3DBF" w14:textId="77777777" w:rsidR="00050694" w:rsidRDefault="00000000">
      <w:r>
        <w:t>☐  MFA enabled for email, remote access, privileged accounts, password manager, financial systems, and cloud storage</w:t>
      </w:r>
    </w:p>
    <w:p w14:paraId="40D686F4" w14:textId="77777777" w:rsidR="00050694" w:rsidRDefault="00000000">
      <w:r>
        <w:t>☐  Phishing-resistant MFA evaluated for critical applications</w:t>
      </w:r>
    </w:p>
    <w:p w14:paraId="010422D3" w14:textId="77777777" w:rsidR="00050694" w:rsidRDefault="00000000">
      <w:r>
        <w:t>☐  Browser-stored passwords migrated and removed</w:t>
      </w:r>
    </w:p>
    <w:p w14:paraId="16B8A683" w14:textId="77777777" w:rsidR="00050694" w:rsidRDefault="00000000">
      <w:r>
        <w:t>☐  Compromised-password screening enabled where supported</w:t>
      </w:r>
    </w:p>
    <w:p w14:paraId="44D8A95C" w14:textId="77777777" w:rsidR="00050694" w:rsidRDefault="00000000">
      <w:r>
        <w:t>☐  Failed-login throttling or account protections configured</w:t>
      </w:r>
    </w:p>
    <w:p w14:paraId="46E6157C" w14:textId="77777777" w:rsidR="00050694" w:rsidRDefault="00000000">
      <w:r>
        <w:t>☐  Shared accounts inventoried and reduced</w:t>
      </w:r>
    </w:p>
    <w:p w14:paraId="03D31D27" w14:textId="77777777" w:rsidR="00050694" w:rsidRDefault="00000000">
      <w:r>
        <w:t>☐  Privileged accounts separated from daily-use accounts</w:t>
      </w:r>
    </w:p>
    <w:p w14:paraId="5512123F" w14:textId="77777777" w:rsidR="00050694" w:rsidRDefault="00000000">
      <w:r>
        <w:t>☐  Service accounts, API keys, and application credentials inventoried</w:t>
      </w:r>
    </w:p>
    <w:p w14:paraId="3152D3C1" w14:textId="77777777" w:rsidR="00050694" w:rsidRDefault="00000000">
      <w:r>
        <w:t>☐  Vendor and third-party access reviewed</w:t>
      </w:r>
    </w:p>
    <w:p w14:paraId="519256EC" w14:textId="77777777" w:rsidR="00050694" w:rsidRDefault="00000000">
      <w:r>
        <w:t>☐  Employee onboarding and offboarding steps documented</w:t>
      </w:r>
    </w:p>
    <w:p w14:paraId="761D8455" w14:textId="77777777" w:rsidR="00050694" w:rsidRDefault="00000000">
      <w:r>
        <w:t>☐  Credential incident reporting process communicated</w:t>
      </w:r>
    </w:p>
    <w:p w14:paraId="656AA098" w14:textId="77777777" w:rsidR="00050694" w:rsidRDefault="00000000">
      <w:r>
        <w:t>☐  Passkey adoption roadmap reviewed</w:t>
      </w:r>
    </w:p>
    <w:p w14:paraId="469FE0D4" w14:textId="77777777" w:rsidR="00050694" w:rsidRDefault="00000000">
      <w:r>
        <w:t>☐  Annual employee training completed</w:t>
      </w:r>
    </w:p>
    <w:p w14:paraId="7E80F749" w14:textId="77777777" w:rsidR="00050694" w:rsidRDefault="00000000">
      <w:r>
        <w:t>☐  Policy approved and scheduled for annual review</w:t>
      </w:r>
    </w:p>
    <w:p w14:paraId="349B964B" w14:textId="77777777" w:rsidR="00050694" w:rsidRDefault="00000000">
      <w:pPr>
        <w:pStyle w:val="Heading1"/>
      </w:pPr>
      <w:r>
        <w:t>Password Incident Checklist</w:t>
      </w:r>
    </w:p>
    <w:p w14:paraId="4FE18EF1" w14:textId="77777777" w:rsidR="00050694" w:rsidRDefault="00000000">
      <w:r>
        <w:t>☐  Notify information technology or the managed service provider immediately</w:t>
      </w:r>
    </w:p>
    <w:p w14:paraId="1B358945" w14:textId="77777777" w:rsidR="00050694" w:rsidRDefault="00000000">
      <w:r>
        <w:t>☐  Change the affected password and any reused or related password</w:t>
      </w:r>
    </w:p>
    <w:p w14:paraId="6FDFEE1C" w14:textId="77777777" w:rsidR="00050694" w:rsidRDefault="00000000">
      <w:r>
        <w:t>☐  Review account login history, active sessions, forwarding rules, and recovery methods</w:t>
      </w:r>
    </w:p>
    <w:p w14:paraId="7CBEA466" w14:textId="77777777" w:rsidR="00050694" w:rsidRDefault="00000000">
      <w:r>
        <w:t>☐  Reset or re-register MFA when appropriate</w:t>
      </w:r>
    </w:p>
    <w:p w14:paraId="38B5E38D" w14:textId="77777777" w:rsidR="00050694" w:rsidRDefault="00000000">
      <w:r>
        <w:t>☐  Scan the affected device for malware</w:t>
      </w:r>
    </w:p>
    <w:p w14:paraId="34E773DC" w14:textId="77777777" w:rsidR="00050694" w:rsidRDefault="00000000">
      <w:r>
        <w:t>☐  Check for unauthorized password-manager access or exported vault data</w:t>
      </w:r>
    </w:p>
    <w:p w14:paraId="2E549E62" w14:textId="77777777" w:rsidR="00050694" w:rsidRDefault="00000000">
      <w:r>
        <w:t>☐  Review related shared, vendor, service, and administrative credentials</w:t>
      </w:r>
    </w:p>
    <w:p w14:paraId="7F4CD8CF" w14:textId="77777777" w:rsidR="00050694" w:rsidRDefault="00000000">
      <w:r>
        <w:t>☐  Preserve evidence and document actions taken</w:t>
      </w:r>
    </w:p>
    <w:p w14:paraId="42267AC7" w14:textId="77777777" w:rsidR="00050694" w:rsidRDefault="00000000">
      <w:r>
        <w:t>☐  Determine whether notification, insurance, legal, or compliance obligations apply</w:t>
      </w:r>
    </w:p>
    <w:p w14:paraId="59410E9D" w14:textId="77777777" w:rsidR="00050694" w:rsidRDefault="00000000">
      <w:r>
        <w:t>☐  Complete a lessons-learned review and update controls</w:t>
      </w:r>
    </w:p>
    <w:p w14:paraId="2FDA9393" w14:textId="77777777" w:rsidR="00050694" w:rsidRDefault="00000000">
      <w:r>
        <w:br w:type="page"/>
      </w:r>
    </w:p>
    <w:p w14:paraId="6F5C2F83" w14:textId="77777777" w:rsidR="00050694" w:rsidRDefault="00000000">
      <w:pPr>
        <w:pStyle w:val="Heading1"/>
      </w:pPr>
      <w:r>
        <w:lastRenderedPageBreak/>
        <w:t>Approval</w:t>
      </w:r>
    </w:p>
    <w:tbl>
      <w:tblPr>
        <w:tblStyle w:val="TableGrid"/>
        <w:tblW w:w="0" w:type="auto"/>
        <w:tblLook w:val="04A0" w:firstRow="1" w:lastRow="0" w:firstColumn="1" w:lastColumn="0" w:noHBand="0" w:noVBand="1"/>
      </w:tblPr>
      <w:tblGrid>
        <w:gridCol w:w="5040"/>
        <w:gridCol w:w="5040"/>
      </w:tblGrid>
      <w:tr w:rsidR="00050694" w14:paraId="4E25B1E6" w14:textId="77777777">
        <w:tc>
          <w:tcPr>
            <w:tcW w:w="5040" w:type="dxa"/>
            <w:shd w:val="clear" w:color="auto" w:fill="F6F8FC"/>
          </w:tcPr>
          <w:p w14:paraId="3E97AEE0" w14:textId="77777777" w:rsidR="00050694" w:rsidRDefault="00000000">
            <w:r>
              <w:rPr>
                <w:b/>
              </w:rPr>
              <w:t>Policy owner</w:t>
            </w:r>
          </w:p>
        </w:tc>
        <w:tc>
          <w:tcPr>
            <w:tcW w:w="5040" w:type="dxa"/>
          </w:tcPr>
          <w:p w14:paraId="5C1C8BA2" w14:textId="77777777" w:rsidR="00050694" w:rsidRDefault="00000000">
            <w:r>
              <w:t>_______________________________</w:t>
            </w:r>
          </w:p>
        </w:tc>
      </w:tr>
      <w:tr w:rsidR="00050694" w14:paraId="4DFEC354" w14:textId="77777777">
        <w:tc>
          <w:tcPr>
            <w:tcW w:w="5040" w:type="dxa"/>
            <w:shd w:val="clear" w:color="auto" w:fill="F6F8FC"/>
          </w:tcPr>
          <w:p w14:paraId="17269B8D" w14:textId="77777777" w:rsidR="00050694" w:rsidRDefault="00000000">
            <w:r>
              <w:rPr>
                <w:b/>
              </w:rPr>
              <w:t>Approver</w:t>
            </w:r>
          </w:p>
        </w:tc>
        <w:tc>
          <w:tcPr>
            <w:tcW w:w="5040" w:type="dxa"/>
          </w:tcPr>
          <w:p w14:paraId="3F2A1F47" w14:textId="77777777" w:rsidR="00050694" w:rsidRDefault="00000000">
            <w:r>
              <w:t>_______________________________</w:t>
            </w:r>
          </w:p>
        </w:tc>
      </w:tr>
      <w:tr w:rsidR="00050694" w14:paraId="36E6D611" w14:textId="77777777">
        <w:tc>
          <w:tcPr>
            <w:tcW w:w="5040" w:type="dxa"/>
            <w:shd w:val="clear" w:color="auto" w:fill="F6F8FC"/>
          </w:tcPr>
          <w:p w14:paraId="419853DE" w14:textId="77777777" w:rsidR="00050694" w:rsidRDefault="00000000">
            <w:r>
              <w:rPr>
                <w:b/>
              </w:rPr>
              <w:t>Approval date</w:t>
            </w:r>
          </w:p>
        </w:tc>
        <w:tc>
          <w:tcPr>
            <w:tcW w:w="5040" w:type="dxa"/>
          </w:tcPr>
          <w:p w14:paraId="0BD64A23" w14:textId="77777777" w:rsidR="00050694" w:rsidRDefault="00000000">
            <w:r>
              <w:t>_______________________________</w:t>
            </w:r>
          </w:p>
        </w:tc>
      </w:tr>
      <w:tr w:rsidR="00050694" w14:paraId="414C7DA0" w14:textId="77777777">
        <w:tc>
          <w:tcPr>
            <w:tcW w:w="5040" w:type="dxa"/>
            <w:shd w:val="clear" w:color="auto" w:fill="F6F8FC"/>
          </w:tcPr>
          <w:p w14:paraId="50AF0A3D" w14:textId="77777777" w:rsidR="00050694" w:rsidRDefault="00000000">
            <w:r>
              <w:rPr>
                <w:b/>
              </w:rPr>
              <w:t>Next review date</w:t>
            </w:r>
          </w:p>
        </w:tc>
        <w:tc>
          <w:tcPr>
            <w:tcW w:w="5040" w:type="dxa"/>
          </w:tcPr>
          <w:p w14:paraId="6628AB9C" w14:textId="77777777" w:rsidR="00050694" w:rsidRDefault="00000000">
            <w:r>
              <w:t>_______________________________</w:t>
            </w:r>
          </w:p>
        </w:tc>
      </w:tr>
    </w:tbl>
    <w:p w14:paraId="2E7C49EE" w14:textId="77777777" w:rsidR="00050694" w:rsidRDefault="00000000">
      <w:pPr>
        <w:pStyle w:val="Heading1"/>
      </w:pPr>
      <w:r>
        <w:t>References and Further Reading</w:t>
      </w:r>
    </w:p>
    <w:p w14:paraId="712CEB07" w14:textId="77777777" w:rsidR="00050694" w:rsidRDefault="00000000">
      <w:pPr>
        <w:pStyle w:val="ListBullet"/>
      </w:pPr>
      <w:hyperlink r:id="rId8">
        <w:r>
          <w:rPr>
            <w:color w:val="0062FF"/>
            <w:u w:val="single"/>
          </w:rPr>
          <w:t>NIST SP 800-63B-4: Authentication and Authenticator Management</w:t>
        </w:r>
      </w:hyperlink>
    </w:p>
    <w:p w14:paraId="634154E4" w14:textId="77777777" w:rsidR="00050694" w:rsidRDefault="00000000">
      <w:pPr>
        <w:pStyle w:val="ListBullet"/>
      </w:pPr>
      <w:hyperlink r:id="rId9">
        <w:r>
          <w:rPr>
            <w:color w:val="0062FF"/>
            <w:u w:val="single"/>
          </w:rPr>
          <w:t>NIST: How Do I Create a Good Password?</w:t>
        </w:r>
      </w:hyperlink>
    </w:p>
    <w:p w14:paraId="5C6297A7" w14:textId="77777777" w:rsidR="00050694" w:rsidRDefault="00000000">
      <w:pPr>
        <w:pStyle w:val="ListBullet"/>
      </w:pPr>
      <w:hyperlink r:id="rId10">
        <w:r>
          <w:rPr>
            <w:color w:val="0062FF"/>
            <w:u w:val="single"/>
          </w:rPr>
          <w:t>NIST Small Business Cybersecurity Corner: Multi-Factor Authentication</w:t>
        </w:r>
      </w:hyperlink>
    </w:p>
    <w:p w14:paraId="4D60BFED" w14:textId="77777777" w:rsidR="00050694" w:rsidRDefault="00000000">
      <w:pPr>
        <w:pStyle w:val="ListBullet"/>
      </w:pPr>
      <w:hyperlink r:id="rId11">
        <w:r>
          <w:rPr>
            <w:color w:val="0062FF"/>
            <w:u w:val="single"/>
          </w:rPr>
          <w:t>CISA: Require Multifactor Authentication</w:t>
        </w:r>
      </w:hyperlink>
    </w:p>
    <w:p w14:paraId="13AFD445" w14:textId="77777777" w:rsidR="00050694" w:rsidRDefault="00000000">
      <w:pPr>
        <w:pStyle w:val="ListBullet"/>
      </w:pPr>
      <w:hyperlink r:id="rId12">
        <w:r>
          <w:rPr>
            <w:color w:val="0062FF"/>
            <w:u w:val="single"/>
          </w:rPr>
          <w:t>STACK Cybersecurity Password Security Hub</w:t>
        </w:r>
      </w:hyperlink>
    </w:p>
    <w:p w14:paraId="5B6F277E" w14:textId="77777777" w:rsidR="00050694" w:rsidRDefault="00000000">
      <w:pPr>
        <w:pStyle w:val="ListBullet"/>
      </w:pPr>
      <w:hyperlink r:id="rId13">
        <w:r>
          <w:rPr>
            <w:color w:val="0062FF"/>
            <w:u w:val="single"/>
          </w:rPr>
          <w:t>STACK Cybersecurity Risk Assessment</w:t>
        </w:r>
      </w:hyperlink>
    </w:p>
    <w:p w14:paraId="524AF11A" w14:textId="77777777" w:rsidR="00050694" w:rsidRDefault="00000000">
      <w:pPr>
        <w:pStyle w:val="Heading1"/>
      </w:pPr>
      <w:r>
        <w:t>Need Help?</w:t>
      </w:r>
    </w:p>
    <w:p w14:paraId="2010549B" w14:textId="77777777" w:rsidR="00050694" w:rsidRDefault="00000000">
      <w:r>
        <w:t>STACK Cybersecurity helps businesses deploy password managers, implement MFA and passkeys, remove browser passwords, strengthen identity and access controls, improve onboarding and offboarding, prepare for cyber insurance, and support CMMC, NIST SP 800-171, and SOC 2 initiatives.</w:t>
      </w:r>
    </w:p>
    <w:p w14:paraId="2D8A6FD6" w14:textId="77777777" w:rsidR="00050694" w:rsidRDefault="00000000">
      <w:hyperlink r:id="rId14">
        <w:r>
          <w:rPr>
            <w:color w:val="0062FF"/>
            <w:u w:val="single"/>
          </w:rPr>
          <w:t>Visit stackcyber.com/password-security-hub</w:t>
        </w:r>
      </w:hyperlink>
    </w:p>
    <w:p w14:paraId="32F1410E" w14:textId="77777777" w:rsidR="00050694" w:rsidRDefault="00000000">
      <w:hyperlink r:id="rId15">
        <w:r>
          <w:rPr>
            <w:color w:val="0062FF"/>
            <w:u w:val="single"/>
          </w:rPr>
          <w:t>Schedule a Cybersecurity Risk Assessment</w:t>
        </w:r>
      </w:hyperlink>
    </w:p>
    <w:sectPr w:rsidR="00050694" w:rsidSect="00034616">
      <w:headerReference w:type="default" r:id="rId16"/>
      <w:footerReference w:type="default" r:id="rId17"/>
      <w:pgSz w:w="12240" w:h="15840"/>
      <w:pgMar w:top="1008" w:right="1080" w:bottom="93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6659A" w14:textId="77777777" w:rsidR="00CD3011" w:rsidRDefault="00CD3011">
      <w:pPr>
        <w:spacing w:after="0" w:line="240" w:lineRule="auto"/>
      </w:pPr>
      <w:r>
        <w:separator/>
      </w:r>
    </w:p>
  </w:endnote>
  <w:endnote w:type="continuationSeparator" w:id="0">
    <w:p w14:paraId="7E82EE14" w14:textId="77777777" w:rsidR="00CD3011" w:rsidRDefault="00CD3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6D05" w14:textId="77777777" w:rsidR="00050694" w:rsidRDefault="00000000">
    <w:pPr>
      <w:pStyle w:val="Footer"/>
      <w:jc w:val="center"/>
    </w:pPr>
    <w:proofErr w:type="gramStart"/>
    <w:r>
      <w:rPr>
        <w:color w:val="666666"/>
        <w:sz w:val="16"/>
      </w:rPr>
      <w:t>stackcyber.com  |</w:t>
    </w:r>
    <w:proofErr w:type="gramEnd"/>
    <w:r>
      <w:rPr>
        <w:color w:val="666666"/>
        <w:sz w:val="16"/>
      </w:rPr>
      <w:t xml:space="preserve">  </w:t>
    </w:r>
    <w:r>
      <w:fldChar w:fldCharType="begin"/>
    </w:r>
    <w:r>
      <w:instrText xml:space="preserve"> PAGE </w:instrText>
    </w:r>
    <w:r w:rsidR="001E0500">
      <w:fldChar w:fldCharType="separate"/>
    </w:r>
    <w:r w:rsidR="001E050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3A762" w14:textId="77777777" w:rsidR="00CD3011" w:rsidRDefault="00CD3011">
      <w:pPr>
        <w:spacing w:after="0" w:line="240" w:lineRule="auto"/>
      </w:pPr>
      <w:r>
        <w:separator/>
      </w:r>
    </w:p>
  </w:footnote>
  <w:footnote w:type="continuationSeparator" w:id="0">
    <w:p w14:paraId="62A11186" w14:textId="77777777" w:rsidR="00CD3011" w:rsidRDefault="00CD3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3801" w14:textId="77777777" w:rsidR="00050694" w:rsidRDefault="00000000">
    <w:pPr>
      <w:pStyle w:val="Header"/>
      <w:jc w:val="right"/>
    </w:pPr>
    <w:r>
      <w:rPr>
        <w:b/>
        <w:color w:val="0062FF"/>
        <w:sz w:val="16"/>
      </w:rPr>
      <w:t xml:space="preserve">STACK </w:t>
    </w:r>
    <w:proofErr w:type="gramStart"/>
    <w:r>
      <w:rPr>
        <w:b/>
        <w:color w:val="0062FF"/>
        <w:sz w:val="16"/>
      </w:rPr>
      <w:t>CYBERSECURITY  |</w:t>
    </w:r>
    <w:proofErr w:type="gramEnd"/>
    <w:r>
      <w:rPr>
        <w:b/>
        <w:color w:val="0062FF"/>
        <w:sz w:val="16"/>
      </w:rPr>
      <w:t xml:space="preserve">  PASSWORD SECURITY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56299356">
    <w:abstractNumId w:val="8"/>
  </w:num>
  <w:num w:numId="2" w16cid:durableId="940138622">
    <w:abstractNumId w:val="6"/>
  </w:num>
  <w:num w:numId="3" w16cid:durableId="133722418">
    <w:abstractNumId w:val="5"/>
  </w:num>
  <w:num w:numId="4" w16cid:durableId="1339236215">
    <w:abstractNumId w:val="4"/>
  </w:num>
  <w:num w:numId="5" w16cid:durableId="2072268761">
    <w:abstractNumId w:val="7"/>
  </w:num>
  <w:num w:numId="6" w16cid:durableId="1616597339">
    <w:abstractNumId w:val="3"/>
  </w:num>
  <w:num w:numId="7" w16cid:durableId="1310591524">
    <w:abstractNumId w:val="2"/>
  </w:num>
  <w:num w:numId="8" w16cid:durableId="739211538">
    <w:abstractNumId w:val="1"/>
  </w:num>
  <w:num w:numId="9" w16cid:durableId="1539395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0694"/>
    <w:rsid w:val="0006063C"/>
    <w:rsid w:val="0015074B"/>
    <w:rsid w:val="00182ABA"/>
    <w:rsid w:val="001E0500"/>
    <w:rsid w:val="0029639D"/>
    <w:rsid w:val="002A48A3"/>
    <w:rsid w:val="00326F90"/>
    <w:rsid w:val="00AA1D8D"/>
    <w:rsid w:val="00B47730"/>
    <w:rsid w:val="00CB0664"/>
    <w:rsid w:val="00CD301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290925"/>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00" w:line="259" w:lineRule="auto"/>
    </w:pPr>
    <w:rPr>
      <w:rFonts w:ascii="Aptos" w:hAnsi="Aptos"/>
      <w:color w:val="00084E"/>
      <w:sz w:val="21"/>
    </w:rPr>
  </w:style>
  <w:style w:type="paragraph" w:styleId="Heading1">
    <w:name w:val="heading 1"/>
    <w:basedOn w:val="Normal"/>
    <w:next w:val="Normal"/>
    <w:link w:val="Heading1Char"/>
    <w:uiPriority w:val="9"/>
    <w:qFormat/>
    <w:rsid w:val="00FC693F"/>
    <w:pPr>
      <w:keepNext/>
      <w:keepLines/>
      <w:spacing w:before="280" w:after="120"/>
      <w:outlineLvl w:val="0"/>
    </w:pPr>
    <w:rPr>
      <w:rFonts w:asciiTheme="majorHAnsi" w:eastAsiaTheme="majorEastAsia" w:hAnsiTheme="majorHAnsi" w:cstheme="majorBidi"/>
      <w:b/>
      <w:bCs/>
      <w:color w:val="0062FF"/>
      <w:sz w:val="38"/>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FF004A"/>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spacing w:val="5"/>
      <w:kern w:val="28"/>
      <w:sz w:val="6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TACKTip">
    <w:name w:val="STACK Tip"/>
    <w:basedOn w:val="Normal"/>
    <w:pPr>
      <w:spacing w:before="120" w:after="120"/>
      <w:ind w:left="259" w:right="259"/>
    </w:pPr>
    <w:rPr>
      <w:sz w:val="20"/>
    </w:rPr>
  </w:style>
  <w:style w:type="paragraph" w:customStyle="1" w:styleId="Important">
    <w:name w:val="Important"/>
    <w:basedOn w:val="Normal"/>
    <w:pPr>
      <w:spacing w:before="120" w:after="120"/>
      <w:ind w:left="259" w:right="259"/>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ges.nist.gov/800-63-4/sp800-63b/authenticators/" TargetMode="External"/><Relationship Id="rId13" Type="http://schemas.openxmlformats.org/officeDocument/2006/relationships/hyperlink" Target="https://stackcyber.com/risk-assessment"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stackcyber.com/password-security-hub"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sa.gov/audiences/small-and-medium-businesses/secure-your-business/require-multifactor-authentication" TargetMode="External"/><Relationship Id="rId5" Type="http://schemas.openxmlformats.org/officeDocument/2006/relationships/webSettings" Target="webSettings.xml"/><Relationship Id="rId15" Type="http://schemas.openxmlformats.org/officeDocument/2006/relationships/hyperlink" Target="https://stackcyber.com/risk-assessment" TargetMode="External"/><Relationship Id="rId10" Type="http://schemas.openxmlformats.org/officeDocument/2006/relationships/hyperlink" Target="https://www.nist.gov/itl/smallbusinesscyber/guidance-topic/multi-factor-authentic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st.gov/cybersecurity-and-privacy/how-do-i-create-good-password" TargetMode="External"/><Relationship Id="rId14" Type="http://schemas.openxmlformats.org/officeDocument/2006/relationships/hyperlink" Target="https://stackcyber.com/password-security-hub"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E0707033C2EE4686867AC106A88E1C" ma:contentTypeVersion="22" ma:contentTypeDescription="Create a new document." ma:contentTypeScope="" ma:versionID="77de1da633a4c6341fb0cd7b36d44900">
  <xsd:schema xmlns:xsd="http://www.w3.org/2001/XMLSchema" xmlns:xs="http://www.w3.org/2001/XMLSchema" xmlns:p="http://schemas.microsoft.com/office/2006/metadata/properties" xmlns:ns2="46f04cde-7dc5-48c8-8841-afa3a3e4ab96" xmlns:ns3="ebf12464-9d9f-4c16-a30f-7d8f501f3de5" targetNamespace="http://schemas.microsoft.com/office/2006/metadata/properties" ma:root="true" ma:fieldsID="98eba8874fefbf946f9835f9d2ae365b" ns2:_="" ns3:_="">
    <xsd:import namespace="46f04cde-7dc5-48c8-8841-afa3a3e4ab96"/>
    <xsd:import namespace="ebf12464-9d9f-4c16-a30f-7d8f501f3d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_x0020_Classification"/>
                <xsd:element ref="ns3:TaxKeywordTaxHTField" minOccurs="0"/>
                <xsd:element ref="ns2:MediaLengthInSeconds" minOccurs="0"/>
                <xsd:element ref="ns2:MediaServiceLocation" minOccurs="0"/>
                <xsd:element ref="ns2:RequestID" minOccurs="0"/>
                <xsd:element ref="ns2:MRStatus" minOccurs="0"/>
                <xsd:element ref="ns2:RequestType" minOccurs="0"/>
                <xsd:element ref="ns2:SubmittedForReview" minOccurs="0"/>
                <xsd:element ref="ns2:Approval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4cde-7dc5-48c8-8841-afa3a3e4a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8cb0bce-1002-4eab-ad99-891ad430f54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ata_x0020_Classification" ma:index="20" ma:displayName="Data Classification" ma:default="Public" ma:description="Public -  Information that is openly available and can be shared without any restrictions.&#10;Internal-Use: Data intended only for use within an organization. It is not sensitive enough to cause significant harm if accidentally disclosed outside, but it is not meant for public distribution.&#10;Confidential: Sensitive information that is restricted to a limited group within the organization. Unauthorized access or disclosure could have a negative impact.&#10;Restricted: The highest level of sensitivity. This data is highly sensitive and its unauthorized disclosure could lead to severe financial, reputational, or operational damage." ma:format="Dropdown" ma:internalName="Data_x0020_Classification">
      <xsd:simpleType>
        <xsd:restriction base="dms:Choice">
          <xsd:enumeration value="Public"/>
          <xsd:enumeration value="Internal-Use"/>
          <xsd:enumeration value="Confidential"/>
          <xsd:enumeration value="Restricted"/>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RequestID" ma:index="25" nillable="true" ma:displayName="RequestID" ma:description="ID of Request" ma:format="Dropdown" ma:internalName="RequestID" ma:percentage="FALSE">
      <xsd:simpleType>
        <xsd:restriction base="dms:Number"/>
      </xsd:simpleType>
    </xsd:element>
    <xsd:element name="MRStatus" ma:index="26" nillable="true" ma:displayName="MRStatus" ma:format="Dropdown" ma:internalName="MRStatus">
      <xsd:simpleType>
        <xsd:restriction base="dms:Choice">
          <xsd:enumeration value="In Progress"/>
          <xsd:enumeration value="In Review"/>
          <xsd:enumeration value="Approved"/>
          <xsd:enumeration value="Changes Requested"/>
        </xsd:restriction>
      </xsd:simpleType>
    </xsd:element>
    <xsd:element name="RequestType" ma:index="27" nillable="true" ma:displayName="Request Type" ma:description="What type of content was requested?" ma:format="Dropdown" ma:internalName="RequestType">
      <xsd:simpleType>
        <xsd:restriction base="dms:Choice">
          <xsd:enumeration value="Copy/Caption"/>
          <xsd:enumeration value="Graphic"/>
          <xsd:enumeration value="Client Outreach"/>
          <xsd:enumeration value="Video"/>
          <xsd:enumeration value="Website"/>
          <xsd:enumeration value="Print Collateral"/>
          <xsd:enumeration value="Web Blog"/>
          <xsd:enumeration value="Cyber Brief"/>
          <xsd:enumeration value="Event"/>
          <xsd:enumeration value="Other"/>
        </xsd:restriction>
      </xsd:simpleType>
    </xsd:element>
    <xsd:element name="SubmittedForReview" ma:index="28" nillable="true" ma:displayName="SubmittedForReview" ma:default="0" ma:format="Dropdown" ma:internalName="SubmittedForReview">
      <xsd:simpleType>
        <xsd:restriction base="dms:Boolean"/>
      </xsd:simpleType>
    </xsd:element>
    <xsd:element name="ApprovalSent" ma:index="29" nillable="true" ma:displayName="ApprovalSent" ma:default="0" ma:format="Dropdown" ma:internalName="ApprovalS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bf12464-9d9f-4c16-a30f-7d8f501f3de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7939e5c-e147-451b-8bf1-01ca838ad4a8}" ma:internalName="TaxCatchAll" ma:showField="CatchAllData" ma:web="ebf12464-9d9f-4c16-a30f-7d8f501f3de5">
      <xsd:complexType>
        <xsd:complexContent>
          <xsd:extension base="dms:MultiChoiceLookup">
            <xsd:sequence>
              <xsd:element name="Value" type="dms:Lookup" maxOccurs="unbounded" minOccurs="0" nillable="true"/>
            </xsd:sequence>
          </xsd:extension>
        </xsd:complexContent>
      </xsd:complexType>
    </xsd:element>
    <xsd:element name="TaxKeywordTaxHTField" ma:index="22" nillable="true" ma:taxonomy="true" ma:internalName="TaxKeywordTaxHTField" ma:taxonomyFieldName="TaxKeyword" ma:displayName="Enterprise Keywords" ma:fieldId="{23f27201-bee3-471e-b2e7-b64fd8b7ca38}" ma:taxonomyMulti="true" ma:sspId="88cb0bce-1002-4eab-ad99-891ad430f54c"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RStatus xmlns="46f04cde-7dc5-48c8-8841-afa3a3e4ab96" xsi:nil="true"/>
    <RequestID xmlns="46f04cde-7dc5-48c8-8841-afa3a3e4ab96" xsi:nil="true"/>
    <TaxKeywordTaxHTField xmlns="ebf12464-9d9f-4c16-a30f-7d8f501f3de5">
      <Terms xmlns="http://schemas.microsoft.com/office/infopath/2007/PartnerControls"/>
    </TaxKeywordTaxHTField>
    <ApprovalSent xmlns="46f04cde-7dc5-48c8-8841-afa3a3e4ab96">false</ApprovalSent>
    <SubmittedForReview xmlns="46f04cde-7dc5-48c8-8841-afa3a3e4ab96">false</SubmittedForReview>
    <Data_x0020_Classification xmlns="46f04cde-7dc5-48c8-8841-afa3a3e4ab96">Public</Data_x0020_Classification>
    <RequestType xmlns="46f04cde-7dc5-48c8-8841-afa3a3e4ab96" xsi:nil="true"/>
    <lcf76f155ced4ddcb4097134ff3c332f xmlns="46f04cde-7dc5-48c8-8841-afa3a3e4ab96">
      <Terms xmlns="http://schemas.microsoft.com/office/infopath/2007/PartnerControls"/>
    </lcf76f155ced4ddcb4097134ff3c332f>
    <TaxCatchAll xmlns="ebf12464-9d9f-4c16-a30f-7d8f501f3de5"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A54C207-22C6-4FCF-923F-2D1320D378D8}"/>
</file>

<file path=customXml/itemProps3.xml><?xml version="1.0" encoding="utf-8"?>
<ds:datastoreItem xmlns:ds="http://schemas.openxmlformats.org/officeDocument/2006/customXml" ds:itemID="{216C92DF-CAF3-4EF3-856B-BE08487A19AE}"/>
</file>

<file path=customXml/itemProps4.xml><?xml version="1.0" encoding="utf-8"?>
<ds:datastoreItem xmlns:ds="http://schemas.openxmlformats.org/officeDocument/2006/customXml" ds:itemID="{4D55ABF4-F9AF-4220-A802-472B9691EF39}"/>
</file>

<file path=docProps/app.xml><?xml version="1.0" encoding="utf-8"?>
<Properties xmlns="http://schemas.openxmlformats.org/officeDocument/2006/extended-properties" xmlns:vt="http://schemas.openxmlformats.org/officeDocument/2006/docPropsVTypes">
  <Template>Normal.dotm</Template>
  <TotalTime>0</TotalTime>
  <Pages>8</Pages>
  <Words>1529</Words>
  <Characters>10124</Characters>
  <Application>Microsoft Office Word</Application>
  <DocSecurity>0</DocSecurity>
  <Lines>253</Lines>
  <Paragraphs>191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2026-07-20T19:40:00Z</dcterms:created>
  <dcterms:modified xsi:type="dcterms:W3CDTF">2026-07-20T19:41:00Z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0x01010019E0707033C2EE4686867AC106A88E1C</vt:lpwstr>
  </property>
</Properties>
</file>